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604" w:rsidRPr="00D937CF" w:rsidRDefault="00A30C92" w:rsidP="00D937CF">
      <w:pPr>
        <w:jc w:val="center"/>
        <w:rPr>
          <w:sz w:val="32"/>
        </w:rPr>
      </w:pPr>
      <w:r w:rsidRPr="00D937CF">
        <w:rPr>
          <w:sz w:val="32"/>
        </w:rPr>
        <w:t>Classique de go</w:t>
      </w:r>
    </w:p>
    <w:p w:rsidR="00A30C92" w:rsidRPr="00D937CF" w:rsidRDefault="00A30C92" w:rsidP="00D937CF">
      <w:pPr>
        <w:jc w:val="center"/>
        <w:rPr>
          <w:rFonts w:ascii="MS Gothic" w:eastAsia="MS Gothic" w:hAnsi="MS Gothic" w:cs="MS Gothic"/>
          <w:color w:val="2C2C2E"/>
          <w:sz w:val="32"/>
          <w:shd w:val="clear" w:color="auto" w:fill="D0D5BF"/>
        </w:rPr>
      </w:pPr>
      <w:r w:rsidRPr="00D937CF">
        <w:rPr>
          <w:sz w:val="32"/>
        </w:rPr>
        <w:t>碁</w:t>
      </w:r>
      <w:r w:rsidRPr="00D937CF">
        <w:rPr>
          <w:rFonts w:hint="eastAsia"/>
          <w:sz w:val="32"/>
        </w:rPr>
        <w:t>經</w:t>
      </w:r>
      <w:r w:rsidR="003D6604" w:rsidRPr="00D937CF">
        <w:rPr>
          <w:sz w:val="32"/>
        </w:rPr>
        <w:t xml:space="preserve"> </w:t>
      </w:r>
      <w:proofErr w:type="spellStart"/>
      <w:r w:rsidR="003D6604" w:rsidRPr="00D937CF">
        <w:rPr>
          <w:sz w:val="32"/>
        </w:rPr>
        <w:t>Q</w:t>
      </w:r>
      <w:r w:rsidRPr="00D937CF">
        <w:rPr>
          <w:sz w:val="32"/>
        </w:rPr>
        <w:t>ijing</w:t>
      </w:r>
      <w:proofErr w:type="spellEnd"/>
    </w:p>
    <w:p w:rsidR="00A30C92" w:rsidRPr="00A30C92" w:rsidRDefault="00A30C92" w:rsidP="00A30C9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24"/>
          <w:szCs w:val="42"/>
        </w:rPr>
      </w:pPr>
      <w:r w:rsidRPr="00767D0C">
        <w:rPr>
          <w:rFonts w:ascii="inherit" w:eastAsia="Times New Roman" w:hAnsi="inherit" w:cs="Courier New"/>
          <w:color w:val="202124"/>
          <w:sz w:val="24"/>
          <w:szCs w:val="42"/>
        </w:rPr>
        <w:t>Le manuscrit original du Classique de</w:t>
      </w:r>
      <w:r w:rsidRPr="00A30C92">
        <w:rPr>
          <w:rFonts w:ascii="inherit" w:eastAsia="Times New Roman" w:hAnsi="inherit" w:cs="Courier New"/>
          <w:color w:val="202124"/>
          <w:sz w:val="24"/>
          <w:szCs w:val="42"/>
        </w:rPr>
        <w:t xml:space="preserve"> Go</w:t>
      </w:r>
      <w:r w:rsidR="00B026D9" w:rsidRPr="00767D0C">
        <w:rPr>
          <w:rStyle w:val="Appeldenotedefin"/>
          <w:rFonts w:ascii="MS Gothic" w:eastAsia="MS Gothic" w:hAnsi="MS Gothic" w:cs="MS Gothic"/>
          <w:color w:val="2C2C2E"/>
          <w:sz w:val="21"/>
          <w:shd w:val="clear" w:color="auto" w:fill="D0D5BF"/>
        </w:rPr>
        <w:endnoteReference w:id="1"/>
      </w:r>
      <w:r w:rsidRPr="00A30C92">
        <w:rPr>
          <w:rFonts w:ascii="inherit" w:eastAsia="Times New Roman" w:hAnsi="inherit" w:cs="Courier New"/>
          <w:color w:val="202124"/>
          <w:sz w:val="24"/>
          <w:szCs w:val="42"/>
        </w:rPr>
        <w:t xml:space="preserve"> est étiqueté Or.8210 / S.5574 («S» pour Stein) et est considéré comme le plus ancien manuel existant consacré au jeu de Go. Dans les années 1960, Cheng </w:t>
      </w:r>
      <w:proofErr w:type="spellStart"/>
      <w:r w:rsidRPr="00A30C92">
        <w:rPr>
          <w:rFonts w:ascii="inherit" w:eastAsia="Times New Roman" w:hAnsi="inherit" w:cs="Courier New"/>
          <w:color w:val="202124"/>
          <w:sz w:val="24"/>
          <w:szCs w:val="42"/>
        </w:rPr>
        <w:t>Enyuan</w:t>
      </w:r>
      <w:proofErr w:type="spellEnd"/>
      <w:r w:rsidRPr="00A30C92">
        <w:rPr>
          <w:rFonts w:ascii="inherit" w:eastAsia="Times New Roman" w:hAnsi="inherit" w:cs="Courier New"/>
          <w:color w:val="202124"/>
          <w:sz w:val="24"/>
          <w:szCs w:val="42"/>
        </w:rPr>
        <w:t xml:space="preserve"> a fourni une transcription </w:t>
      </w:r>
      <w:r w:rsidR="001D2576">
        <w:rPr>
          <w:rFonts w:ascii="inherit" w:eastAsia="Times New Roman" w:hAnsi="inherit" w:cs="Courier New"/>
          <w:color w:val="202124"/>
          <w:sz w:val="24"/>
          <w:szCs w:val="42"/>
        </w:rPr>
        <w:t>en chinois simplifié</w:t>
      </w:r>
      <w:r w:rsidRPr="00A30C92">
        <w:rPr>
          <w:rFonts w:ascii="inherit" w:eastAsia="Times New Roman" w:hAnsi="inherit" w:cs="Courier New"/>
          <w:color w:val="202124"/>
          <w:sz w:val="24"/>
          <w:szCs w:val="42"/>
        </w:rPr>
        <w:t xml:space="preserve"> moderne ave</w:t>
      </w:r>
      <w:r w:rsidR="001D2576">
        <w:rPr>
          <w:rFonts w:ascii="inherit" w:eastAsia="Times New Roman" w:hAnsi="inherit" w:cs="Courier New"/>
          <w:color w:val="202124"/>
          <w:sz w:val="24"/>
          <w:szCs w:val="42"/>
        </w:rPr>
        <w:t xml:space="preserve">c de nombreuses notes. Son </w:t>
      </w:r>
      <w:r w:rsidRPr="00A30C92">
        <w:rPr>
          <w:rFonts w:ascii="inherit" w:eastAsia="Times New Roman" w:hAnsi="inherit" w:cs="Courier New"/>
          <w:color w:val="202124"/>
          <w:sz w:val="24"/>
          <w:szCs w:val="42"/>
        </w:rPr>
        <w:t xml:space="preserve">avis </w:t>
      </w:r>
      <w:r w:rsidR="001D2576">
        <w:rPr>
          <w:rFonts w:ascii="inherit" w:eastAsia="Times New Roman" w:hAnsi="inherit" w:cs="Courier New"/>
          <w:color w:val="202124"/>
          <w:sz w:val="24"/>
          <w:szCs w:val="42"/>
        </w:rPr>
        <w:t xml:space="preserve">est </w:t>
      </w:r>
      <w:r w:rsidRPr="00A30C92">
        <w:rPr>
          <w:rFonts w:ascii="inherit" w:eastAsia="Times New Roman" w:hAnsi="inherit" w:cs="Courier New"/>
          <w:color w:val="202124"/>
          <w:sz w:val="24"/>
          <w:szCs w:val="42"/>
        </w:rPr>
        <w:t>que le manuscrit a été écrit au VIe siècle après JC, dans l'état de Zhou</w:t>
      </w:r>
      <w:r w:rsidR="001D2576">
        <w:rPr>
          <w:rFonts w:ascii="inherit" w:eastAsia="Times New Roman" w:hAnsi="inherit" w:cs="Courier New"/>
          <w:color w:val="202124"/>
          <w:sz w:val="24"/>
          <w:szCs w:val="42"/>
        </w:rPr>
        <w:t xml:space="preserve"> Nord</w:t>
      </w:r>
      <w:r w:rsidRPr="00A30C92">
        <w:rPr>
          <w:rFonts w:ascii="inherit" w:eastAsia="Times New Roman" w:hAnsi="inherit" w:cs="Courier New"/>
          <w:color w:val="202124"/>
          <w:sz w:val="24"/>
          <w:szCs w:val="42"/>
        </w:rPr>
        <w:t>, en raison de la structure de certains des caractères et de la langue utilisée</w:t>
      </w:r>
      <w:r w:rsidR="00B026D9" w:rsidRPr="00767D0C">
        <w:rPr>
          <w:rStyle w:val="Appeldenotedefin"/>
          <w:rFonts w:ascii="inherit" w:eastAsia="Times New Roman" w:hAnsi="inherit" w:cs="Courier New"/>
          <w:color w:val="202124"/>
          <w:sz w:val="24"/>
          <w:szCs w:val="42"/>
        </w:rPr>
        <w:endnoteReference w:id="2"/>
      </w:r>
    </w:p>
    <w:p w:rsidR="00A30C92" w:rsidRPr="00A30C92" w:rsidRDefault="00A30C92" w:rsidP="00A30C9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24"/>
          <w:szCs w:val="42"/>
        </w:rPr>
      </w:pPr>
      <w:r w:rsidRPr="00A30C92">
        <w:rPr>
          <w:rFonts w:ascii="inherit" w:eastAsia="Times New Roman" w:hAnsi="inherit" w:cs="Courier New"/>
          <w:color w:val="202124"/>
          <w:sz w:val="24"/>
          <w:szCs w:val="42"/>
        </w:rPr>
        <w:t xml:space="preserve">Une édition révisée des travaux de Cheng a été publiée en 1990. Une transcription du manuscrit en caractères chinois complexes et modernes </w:t>
      </w:r>
      <w:r w:rsidRPr="00767D0C">
        <w:rPr>
          <w:rFonts w:ascii="inherit" w:eastAsia="Times New Roman" w:hAnsi="inherit" w:cs="Courier New"/>
          <w:color w:val="202124"/>
          <w:sz w:val="24"/>
          <w:szCs w:val="42"/>
        </w:rPr>
        <w:t>a été</w:t>
      </w:r>
      <w:r w:rsidRPr="00A30C92">
        <w:rPr>
          <w:rFonts w:ascii="inherit" w:eastAsia="Times New Roman" w:hAnsi="inherit" w:cs="Courier New"/>
          <w:color w:val="202124"/>
          <w:sz w:val="24"/>
          <w:szCs w:val="42"/>
        </w:rPr>
        <w:t xml:space="preserve"> disponible sur le site Internet du </w:t>
      </w:r>
      <w:proofErr w:type="spellStart"/>
      <w:r w:rsidRPr="00A30C92">
        <w:rPr>
          <w:rFonts w:ascii="inherit" w:eastAsia="Times New Roman" w:hAnsi="inherit" w:cs="Courier New"/>
          <w:color w:val="202124"/>
          <w:sz w:val="24"/>
          <w:szCs w:val="42"/>
        </w:rPr>
        <w:t>Yenjing</w:t>
      </w:r>
      <w:proofErr w:type="spellEnd"/>
      <w:r w:rsidRPr="00A30C92">
        <w:rPr>
          <w:rFonts w:ascii="inherit" w:eastAsia="Times New Roman" w:hAnsi="inherit" w:cs="Courier New"/>
          <w:color w:val="202124"/>
          <w:sz w:val="24"/>
          <w:szCs w:val="42"/>
        </w:rPr>
        <w:t xml:space="preserve"> </w:t>
      </w:r>
      <w:proofErr w:type="spellStart"/>
      <w:r w:rsidRPr="00A30C92">
        <w:rPr>
          <w:rFonts w:ascii="inherit" w:eastAsia="Times New Roman" w:hAnsi="inherit" w:cs="Courier New"/>
          <w:color w:val="202124"/>
          <w:sz w:val="24"/>
          <w:szCs w:val="42"/>
        </w:rPr>
        <w:t>College</w:t>
      </w:r>
      <w:proofErr w:type="spellEnd"/>
      <w:r w:rsidRPr="00A30C92">
        <w:rPr>
          <w:rFonts w:ascii="inherit" w:eastAsia="Times New Roman" w:hAnsi="inherit" w:cs="Courier New"/>
          <w:color w:val="202124"/>
          <w:sz w:val="24"/>
          <w:szCs w:val="42"/>
        </w:rPr>
        <w:t xml:space="preserve"> Go Club de Hong Kong</w:t>
      </w:r>
      <w:r w:rsidR="00B026D9" w:rsidRPr="00767D0C">
        <w:rPr>
          <w:rStyle w:val="Appeldenotedefin"/>
          <w:rFonts w:ascii="inherit" w:eastAsia="Times New Roman" w:hAnsi="inherit" w:cs="Courier New"/>
          <w:color w:val="202124"/>
          <w:sz w:val="24"/>
          <w:szCs w:val="42"/>
        </w:rPr>
        <w:endnoteReference w:id="3"/>
      </w:r>
      <w:r w:rsidRPr="00A30C92">
        <w:rPr>
          <w:rFonts w:ascii="inherit" w:eastAsia="Times New Roman" w:hAnsi="inherit" w:cs="Courier New"/>
          <w:color w:val="202124"/>
          <w:sz w:val="24"/>
          <w:szCs w:val="42"/>
        </w:rPr>
        <w:t>.</w:t>
      </w:r>
    </w:p>
    <w:p w:rsidR="00A30C92" w:rsidRPr="00A30C92" w:rsidRDefault="00A30C92" w:rsidP="00A30C9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24"/>
          <w:szCs w:val="42"/>
        </w:rPr>
      </w:pPr>
      <w:r w:rsidRPr="00A30C92">
        <w:rPr>
          <w:rFonts w:ascii="inherit" w:eastAsia="Times New Roman" w:hAnsi="inherit" w:cs="Courier New"/>
          <w:color w:val="202124"/>
          <w:sz w:val="24"/>
          <w:szCs w:val="42"/>
        </w:rPr>
        <w:t xml:space="preserve">Je tiens à remercier John </w:t>
      </w:r>
      <w:proofErr w:type="spellStart"/>
      <w:r w:rsidRPr="00A30C92">
        <w:rPr>
          <w:rFonts w:ascii="inherit" w:eastAsia="Times New Roman" w:hAnsi="inherit" w:cs="Courier New"/>
          <w:color w:val="202124"/>
          <w:sz w:val="24"/>
          <w:szCs w:val="42"/>
        </w:rPr>
        <w:t>Fairbairn</w:t>
      </w:r>
      <w:proofErr w:type="spellEnd"/>
      <w:r w:rsidRPr="00A30C92">
        <w:rPr>
          <w:rFonts w:ascii="inherit" w:eastAsia="Times New Roman" w:hAnsi="inherit" w:cs="Courier New"/>
          <w:color w:val="202124"/>
          <w:sz w:val="24"/>
          <w:szCs w:val="42"/>
        </w:rPr>
        <w:t xml:space="preserve"> pour sa lecture attentive et ses commentaires perspicaces sur les versions préliminaires de </w:t>
      </w:r>
      <w:r w:rsidR="001D2576">
        <w:rPr>
          <w:rFonts w:ascii="inherit" w:eastAsia="Times New Roman" w:hAnsi="inherit" w:cs="Courier New"/>
          <w:color w:val="202124"/>
          <w:sz w:val="24"/>
          <w:szCs w:val="42"/>
        </w:rPr>
        <w:t xml:space="preserve">la </w:t>
      </w:r>
      <w:r w:rsidRPr="00A30C92">
        <w:rPr>
          <w:rFonts w:ascii="inherit" w:eastAsia="Times New Roman" w:hAnsi="inherit" w:cs="Courier New"/>
          <w:color w:val="202124"/>
          <w:sz w:val="24"/>
          <w:szCs w:val="42"/>
        </w:rPr>
        <w:t>traduction</w:t>
      </w:r>
      <w:r w:rsidR="001D2576">
        <w:rPr>
          <w:rFonts w:ascii="inherit" w:eastAsia="Times New Roman" w:hAnsi="inherit" w:cs="Courier New"/>
          <w:color w:val="202124"/>
          <w:sz w:val="24"/>
          <w:szCs w:val="42"/>
        </w:rPr>
        <w:t xml:space="preserve"> anglaise</w:t>
      </w:r>
    </w:p>
    <w:p w:rsidR="00A30C92" w:rsidRPr="00A30C92" w:rsidRDefault="00A30C92" w:rsidP="00A30C9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24"/>
          <w:szCs w:val="42"/>
        </w:rPr>
      </w:pPr>
      <w:r w:rsidRPr="00A30C92">
        <w:rPr>
          <w:rFonts w:ascii="inherit" w:eastAsia="Times New Roman" w:hAnsi="inherit" w:cs="Courier New"/>
          <w:color w:val="202124"/>
          <w:sz w:val="24"/>
          <w:szCs w:val="42"/>
        </w:rPr>
        <w:t>Robert W Foster [traducteur</w:t>
      </w:r>
      <w:r w:rsidR="001D2576">
        <w:rPr>
          <w:rFonts w:ascii="inherit" w:eastAsia="Times New Roman" w:hAnsi="inherit" w:cs="Courier New"/>
          <w:color w:val="202124"/>
          <w:sz w:val="24"/>
          <w:szCs w:val="42"/>
        </w:rPr>
        <w:t xml:space="preserve"> en Anglais</w:t>
      </w:r>
      <w:r w:rsidR="00003374">
        <w:rPr>
          <w:rFonts w:ascii="inherit" w:eastAsia="Times New Roman" w:hAnsi="inherit" w:cs="Courier New"/>
          <w:color w:val="202124"/>
          <w:sz w:val="24"/>
          <w:szCs w:val="42"/>
        </w:rPr>
        <w:t xml:space="preserve"> de la section 1</w:t>
      </w:r>
      <w:r w:rsidRPr="00A30C92">
        <w:rPr>
          <w:rFonts w:ascii="inherit" w:eastAsia="Times New Roman" w:hAnsi="inherit" w:cs="Courier New"/>
          <w:color w:val="202124"/>
          <w:sz w:val="24"/>
          <w:szCs w:val="42"/>
        </w:rPr>
        <w:t>]</w:t>
      </w:r>
    </w:p>
    <w:p w:rsidR="00A30C92" w:rsidRPr="00A30C92" w:rsidRDefault="00A30C92" w:rsidP="00A30C9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24"/>
          <w:szCs w:val="42"/>
        </w:rPr>
      </w:pPr>
      <w:r w:rsidRPr="00A30C92">
        <w:rPr>
          <w:rFonts w:ascii="inherit" w:eastAsia="Times New Roman" w:hAnsi="inherit" w:cs="Courier New"/>
          <w:color w:val="202124"/>
          <w:sz w:val="24"/>
          <w:szCs w:val="42"/>
        </w:rPr>
        <w:t>http://idp.bl.uk: Projet international Dunhuang, 2009.</w:t>
      </w:r>
    </w:p>
    <w:p w:rsidR="00A30C92" w:rsidRDefault="00A30C92">
      <w:pPr>
        <w:rPr>
          <w:rFonts w:ascii="inherit" w:eastAsia="Times New Roman" w:hAnsi="inherit" w:cs="Courier New"/>
          <w:color w:val="202124"/>
          <w:sz w:val="24"/>
          <w:szCs w:val="42"/>
        </w:rPr>
      </w:pPr>
    </w:p>
    <w:tbl>
      <w:tblPr>
        <w:tblStyle w:val="Grilledutableau"/>
        <w:tblW w:w="0" w:type="auto"/>
        <w:tblLook w:val="04A0" w:firstRow="1" w:lastRow="0" w:firstColumn="1" w:lastColumn="0" w:noHBand="0" w:noVBand="1"/>
      </w:tblPr>
      <w:tblGrid>
        <w:gridCol w:w="1951"/>
        <w:gridCol w:w="2977"/>
      </w:tblGrid>
      <w:tr w:rsidR="006804F8" w:rsidTr="008C5C35">
        <w:tc>
          <w:tcPr>
            <w:tcW w:w="1951" w:type="dxa"/>
          </w:tcPr>
          <w:p w:rsidR="006804F8" w:rsidRDefault="006804F8" w:rsidP="008C5C35">
            <w:pPr>
              <w:jc w:val="right"/>
              <w:rPr>
                <w:rFonts w:ascii="inherit" w:eastAsia="Times New Roman" w:hAnsi="inherit" w:cs="Courier New"/>
                <w:color w:val="202124"/>
                <w:sz w:val="24"/>
                <w:szCs w:val="42"/>
              </w:rPr>
            </w:pPr>
            <w:r w:rsidRPr="005560C9">
              <w:rPr>
                <w:rFonts w:ascii="inherit" w:eastAsia="Times New Roman" w:hAnsi="inherit" w:cs="Courier New"/>
                <w:color w:val="202124"/>
                <w:sz w:val="24"/>
                <w:szCs w:val="42"/>
              </w:rPr>
              <w:t>Institut:</w:t>
            </w:r>
          </w:p>
        </w:tc>
        <w:tc>
          <w:tcPr>
            <w:tcW w:w="2977" w:type="dxa"/>
          </w:tcPr>
          <w:p w:rsidR="006804F8" w:rsidRDefault="0026683C">
            <w:pPr>
              <w:rPr>
                <w:rFonts w:ascii="inherit" w:eastAsia="Times New Roman" w:hAnsi="inherit" w:cs="Courier New"/>
                <w:color w:val="202124"/>
                <w:sz w:val="24"/>
                <w:szCs w:val="42"/>
              </w:rPr>
            </w:pPr>
            <w:hyperlink r:id="rId9" w:tgtFrame="instituteWin" w:history="1">
              <w:r w:rsidR="006804F8" w:rsidRPr="005560C9">
                <w:rPr>
                  <w:rFonts w:ascii="inherit" w:eastAsia="Times New Roman" w:hAnsi="inherit" w:cs="Courier New"/>
                  <w:color w:val="202124"/>
                  <w:sz w:val="24"/>
                  <w:szCs w:val="42"/>
                </w:rPr>
                <w:t>British Library</w:t>
              </w:r>
            </w:hyperlink>
          </w:p>
        </w:tc>
      </w:tr>
      <w:tr w:rsidR="006804F8" w:rsidTr="008C5C35">
        <w:tc>
          <w:tcPr>
            <w:tcW w:w="1951" w:type="dxa"/>
          </w:tcPr>
          <w:p w:rsidR="006804F8" w:rsidRDefault="006804F8" w:rsidP="008C5C35">
            <w:pPr>
              <w:jc w:val="right"/>
              <w:rPr>
                <w:rFonts w:ascii="inherit" w:eastAsia="Times New Roman" w:hAnsi="inherit" w:cs="Courier New"/>
                <w:color w:val="202124"/>
                <w:sz w:val="24"/>
                <w:szCs w:val="42"/>
              </w:rPr>
            </w:pPr>
            <w:r w:rsidRPr="005560C9">
              <w:rPr>
                <w:rFonts w:ascii="inherit" w:eastAsia="Times New Roman" w:hAnsi="inherit" w:cs="Courier New"/>
                <w:color w:val="202124"/>
                <w:sz w:val="24"/>
                <w:szCs w:val="42"/>
              </w:rPr>
              <w:t>Site:</w:t>
            </w:r>
          </w:p>
        </w:tc>
        <w:tc>
          <w:tcPr>
            <w:tcW w:w="2977" w:type="dxa"/>
          </w:tcPr>
          <w:p w:rsidR="006804F8" w:rsidRDefault="006804F8">
            <w:pPr>
              <w:rPr>
                <w:rFonts w:ascii="inherit" w:eastAsia="Times New Roman" w:hAnsi="inherit" w:cs="Courier New"/>
                <w:color w:val="202124"/>
                <w:sz w:val="24"/>
                <w:szCs w:val="42"/>
              </w:rPr>
            </w:pPr>
            <w:r w:rsidRPr="006804F8">
              <w:rPr>
                <w:rFonts w:ascii="inherit" w:eastAsia="Times New Roman" w:hAnsi="inherit" w:cs="Courier New"/>
                <w:color w:val="202124"/>
                <w:sz w:val="24"/>
                <w:szCs w:val="42"/>
              </w:rPr>
              <w:t xml:space="preserve">Dunhuang </w:t>
            </w:r>
            <w:proofErr w:type="spellStart"/>
            <w:r w:rsidRPr="006804F8">
              <w:rPr>
                <w:rFonts w:ascii="inherit" w:eastAsia="Times New Roman" w:hAnsi="inherit" w:cs="Courier New"/>
                <w:color w:val="202124"/>
                <w:sz w:val="24"/>
                <w:szCs w:val="42"/>
              </w:rPr>
              <w:t>Mogao</w:t>
            </w:r>
            <w:proofErr w:type="spellEnd"/>
          </w:p>
        </w:tc>
      </w:tr>
      <w:tr w:rsidR="006804F8" w:rsidTr="008C5C35">
        <w:tc>
          <w:tcPr>
            <w:tcW w:w="1951" w:type="dxa"/>
          </w:tcPr>
          <w:p w:rsidR="006804F8" w:rsidRDefault="006804F8" w:rsidP="008C5C35">
            <w:pPr>
              <w:jc w:val="right"/>
              <w:rPr>
                <w:rFonts w:ascii="inherit" w:eastAsia="Times New Roman" w:hAnsi="inherit" w:cs="Courier New"/>
                <w:color w:val="202124"/>
                <w:sz w:val="24"/>
                <w:szCs w:val="42"/>
              </w:rPr>
            </w:pPr>
            <w:r w:rsidRPr="005560C9">
              <w:rPr>
                <w:rFonts w:ascii="inherit" w:eastAsia="Times New Roman" w:hAnsi="inherit" w:cs="Courier New"/>
                <w:color w:val="202124"/>
                <w:sz w:val="24"/>
                <w:szCs w:val="42"/>
              </w:rPr>
              <w:t>Form</w:t>
            </w:r>
            <w:r>
              <w:rPr>
                <w:rFonts w:ascii="inherit" w:eastAsia="Times New Roman" w:hAnsi="inherit" w:cs="Courier New"/>
                <w:color w:val="202124"/>
                <w:sz w:val="24"/>
                <w:szCs w:val="42"/>
              </w:rPr>
              <w:t>e</w:t>
            </w:r>
            <w:r w:rsidRPr="005560C9">
              <w:rPr>
                <w:rFonts w:ascii="inherit" w:eastAsia="Times New Roman" w:hAnsi="inherit" w:cs="Courier New"/>
                <w:color w:val="202124"/>
                <w:sz w:val="24"/>
                <w:szCs w:val="42"/>
              </w:rPr>
              <w:t>:</w:t>
            </w:r>
          </w:p>
        </w:tc>
        <w:tc>
          <w:tcPr>
            <w:tcW w:w="2977" w:type="dxa"/>
          </w:tcPr>
          <w:p w:rsidR="006804F8" w:rsidRDefault="008C5C35">
            <w:pPr>
              <w:rPr>
                <w:rFonts w:ascii="inherit" w:eastAsia="Times New Roman" w:hAnsi="inherit" w:cs="Courier New"/>
                <w:color w:val="202124"/>
                <w:sz w:val="24"/>
                <w:szCs w:val="42"/>
              </w:rPr>
            </w:pPr>
            <w:r w:rsidRPr="005560C9">
              <w:rPr>
                <w:rFonts w:ascii="inherit" w:eastAsia="Times New Roman" w:hAnsi="inherit" w:cs="Courier New"/>
                <w:color w:val="202124"/>
                <w:sz w:val="24"/>
                <w:szCs w:val="42"/>
              </w:rPr>
              <w:t>Rouleau</w:t>
            </w:r>
          </w:p>
        </w:tc>
      </w:tr>
      <w:tr w:rsidR="006804F8" w:rsidTr="008C5C35">
        <w:tc>
          <w:tcPr>
            <w:tcW w:w="1951" w:type="dxa"/>
          </w:tcPr>
          <w:p w:rsidR="006804F8" w:rsidRDefault="006804F8" w:rsidP="008C5C35">
            <w:pPr>
              <w:jc w:val="right"/>
              <w:rPr>
                <w:rFonts w:ascii="inherit" w:eastAsia="Times New Roman" w:hAnsi="inherit" w:cs="Courier New"/>
                <w:color w:val="202124"/>
                <w:sz w:val="24"/>
                <w:szCs w:val="42"/>
              </w:rPr>
            </w:pPr>
            <w:r>
              <w:rPr>
                <w:rFonts w:ascii="inherit" w:eastAsia="Times New Roman" w:hAnsi="inherit" w:cs="Courier New"/>
                <w:color w:val="202124"/>
                <w:sz w:val="24"/>
                <w:szCs w:val="42"/>
              </w:rPr>
              <w:t>Matérie</w:t>
            </w:r>
            <w:r w:rsidRPr="005560C9">
              <w:rPr>
                <w:rFonts w:ascii="inherit" w:eastAsia="Times New Roman" w:hAnsi="inherit" w:cs="Courier New"/>
                <w:color w:val="202124"/>
                <w:sz w:val="24"/>
                <w:szCs w:val="42"/>
              </w:rPr>
              <w:t>ls:</w:t>
            </w:r>
          </w:p>
        </w:tc>
        <w:tc>
          <w:tcPr>
            <w:tcW w:w="2977" w:type="dxa"/>
          </w:tcPr>
          <w:p w:rsidR="006804F8" w:rsidRDefault="008C5C35">
            <w:pPr>
              <w:rPr>
                <w:rFonts w:ascii="inherit" w:eastAsia="Times New Roman" w:hAnsi="inherit" w:cs="Courier New"/>
                <w:color w:val="202124"/>
                <w:sz w:val="24"/>
                <w:szCs w:val="42"/>
              </w:rPr>
            </w:pPr>
            <w:r>
              <w:rPr>
                <w:rFonts w:ascii="inherit" w:eastAsia="Times New Roman" w:hAnsi="inherit" w:cs="Courier New"/>
                <w:color w:val="202124"/>
                <w:sz w:val="24"/>
                <w:szCs w:val="42"/>
              </w:rPr>
              <w:t>M</w:t>
            </w:r>
            <w:r w:rsidRPr="005560C9">
              <w:rPr>
                <w:rFonts w:ascii="inherit" w:eastAsia="Times New Roman" w:hAnsi="inherit" w:cs="Courier New"/>
                <w:color w:val="202124"/>
                <w:sz w:val="24"/>
                <w:szCs w:val="42"/>
              </w:rPr>
              <w:t>anuscrit, encre sur papier</w:t>
            </w:r>
          </w:p>
        </w:tc>
      </w:tr>
      <w:tr w:rsidR="006804F8" w:rsidTr="008C5C35">
        <w:tc>
          <w:tcPr>
            <w:tcW w:w="1951" w:type="dxa"/>
          </w:tcPr>
          <w:p w:rsidR="006804F8" w:rsidRDefault="006804F8" w:rsidP="008C5C35">
            <w:pPr>
              <w:jc w:val="right"/>
              <w:rPr>
                <w:rFonts w:ascii="inherit" w:eastAsia="Times New Roman" w:hAnsi="inherit" w:cs="Courier New"/>
                <w:color w:val="202124"/>
                <w:sz w:val="24"/>
                <w:szCs w:val="42"/>
              </w:rPr>
            </w:pPr>
            <w:r w:rsidRPr="005560C9">
              <w:rPr>
                <w:rFonts w:ascii="inherit" w:eastAsia="Times New Roman" w:hAnsi="inherit" w:cs="Courier New"/>
                <w:color w:val="202124"/>
                <w:sz w:val="24"/>
                <w:szCs w:val="42"/>
              </w:rPr>
              <w:t>Taille (h x l) cm:</w:t>
            </w:r>
          </w:p>
        </w:tc>
        <w:tc>
          <w:tcPr>
            <w:tcW w:w="2977" w:type="dxa"/>
          </w:tcPr>
          <w:p w:rsidR="006804F8" w:rsidRDefault="008C5C35">
            <w:pPr>
              <w:rPr>
                <w:rFonts w:ascii="inherit" w:eastAsia="Times New Roman" w:hAnsi="inherit" w:cs="Courier New"/>
                <w:color w:val="202124"/>
                <w:sz w:val="24"/>
                <w:szCs w:val="42"/>
              </w:rPr>
            </w:pPr>
            <w:r w:rsidRPr="005560C9">
              <w:rPr>
                <w:rFonts w:ascii="inherit" w:eastAsia="Times New Roman" w:hAnsi="inherit" w:cs="Courier New"/>
                <w:color w:val="202124"/>
                <w:sz w:val="24"/>
                <w:szCs w:val="42"/>
              </w:rPr>
              <w:t>15.5 x 240</w:t>
            </w:r>
          </w:p>
        </w:tc>
      </w:tr>
    </w:tbl>
    <w:p w:rsidR="008C5C35" w:rsidRDefault="008C5C35" w:rsidP="00CB6985">
      <w:pPr>
        <w:pStyle w:val="Sansinterligne"/>
        <w:rPr>
          <w:sz w:val="24"/>
        </w:rPr>
      </w:pPr>
    </w:p>
    <w:p w:rsidR="00CB6985" w:rsidRPr="005411FA" w:rsidRDefault="001862CE" w:rsidP="00CB6985">
      <w:pPr>
        <w:pStyle w:val="Sansinterligne"/>
        <w:rPr>
          <w:sz w:val="24"/>
        </w:rPr>
      </w:pPr>
      <w:r>
        <w:rPr>
          <w:sz w:val="24"/>
        </w:rPr>
        <w:t>Section</w:t>
      </w:r>
      <w:r w:rsidR="00CB6985" w:rsidRPr="005411FA">
        <w:rPr>
          <w:sz w:val="24"/>
        </w:rPr>
        <w:t xml:space="preserve"> 1</w:t>
      </w:r>
      <w:r w:rsidR="008017CF">
        <w:rPr>
          <w:rStyle w:val="Appeldenotedefin"/>
          <w:sz w:val="24"/>
        </w:rPr>
        <w:endnoteReference w:id="4"/>
      </w:r>
    </w:p>
    <w:p w:rsidR="00CB6985" w:rsidRPr="005411FA" w:rsidRDefault="00CB6985" w:rsidP="00D937CF">
      <w:pPr>
        <w:pStyle w:val="Sansinterligne"/>
        <w:jc w:val="both"/>
        <w:rPr>
          <w:sz w:val="24"/>
        </w:rPr>
      </w:pPr>
      <w:r w:rsidRPr="005411FA">
        <w:rPr>
          <w:sz w:val="24"/>
        </w:rPr>
        <w:t>… Les stratégies de [Chen] Ping.</w:t>
      </w:r>
      <w:r w:rsidR="008017CF">
        <w:rPr>
          <w:rStyle w:val="Appeldenotedefin"/>
          <w:sz w:val="24"/>
        </w:rPr>
        <w:endnoteReference w:id="5"/>
      </w:r>
      <w:r w:rsidR="001876EA">
        <w:rPr>
          <w:sz w:val="24"/>
        </w:rPr>
        <w:t xml:space="preserve">  </w:t>
      </w:r>
      <w:r w:rsidRPr="005411FA">
        <w:rPr>
          <w:sz w:val="24"/>
        </w:rPr>
        <w:t xml:space="preserve">S'il y a des endroits où couper, attaquez-les, </w:t>
      </w:r>
      <w:r>
        <w:rPr>
          <w:sz w:val="24"/>
        </w:rPr>
        <w:t>en affaiblissant les</w:t>
      </w:r>
      <w:r w:rsidRPr="005411FA">
        <w:rPr>
          <w:sz w:val="24"/>
        </w:rPr>
        <w:t xml:space="preserve"> formations </w:t>
      </w:r>
      <w:r>
        <w:rPr>
          <w:sz w:val="24"/>
        </w:rPr>
        <w:t>adverses</w:t>
      </w:r>
      <w:r w:rsidRPr="005411FA">
        <w:rPr>
          <w:sz w:val="24"/>
        </w:rPr>
        <w:t>; même s'il n'y a pas de gain, cela ne fera aucun tort à la configuration globale. Si l'avant-garde devient forte</w:t>
      </w:r>
      <w:r w:rsidR="008017CF">
        <w:rPr>
          <w:rStyle w:val="Appeldenotedefin"/>
          <w:sz w:val="24"/>
        </w:rPr>
        <w:endnoteReference w:id="6"/>
      </w:r>
      <w:r w:rsidRPr="005411FA">
        <w:rPr>
          <w:sz w:val="24"/>
        </w:rPr>
        <w:t>, on peut empiéter. Si l'avantage stratégique</w:t>
      </w:r>
      <w:r w:rsidR="008017CF">
        <w:rPr>
          <w:rStyle w:val="Appeldenotedefin"/>
          <w:sz w:val="24"/>
        </w:rPr>
        <w:endnoteReference w:id="7"/>
      </w:r>
      <w:r w:rsidRPr="005411FA">
        <w:rPr>
          <w:sz w:val="24"/>
        </w:rPr>
        <w:t xml:space="preserve"> est déjà perdu, défendez les frontières. Si </w:t>
      </w:r>
      <w:r w:rsidR="001D2576">
        <w:rPr>
          <w:sz w:val="24"/>
        </w:rPr>
        <w:t xml:space="preserve">on est </w:t>
      </w:r>
      <w:r w:rsidRPr="005411FA">
        <w:rPr>
          <w:sz w:val="24"/>
        </w:rPr>
        <w:t>gourmand, on sera souvent vaincu. Si timide, on réussira rarement.</w:t>
      </w:r>
      <w:r w:rsidR="00D53D0D">
        <w:rPr>
          <w:rStyle w:val="Appeldenotedefin"/>
          <w:sz w:val="24"/>
        </w:rPr>
        <w:endnoteReference w:id="8"/>
      </w:r>
    </w:p>
    <w:p w:rsidR="00CB6985" w:rsidRPr="005411FA" w:rsidRDefault="00CB6985" w:rsidP="00CB6985">
      <w:pPr>
        <w:pStyle w:val="Sansinterligne"/>
        <w:rPr>
          <w:sz w:val="24"/>
        </w:rPr>
      </w:pPr>
      <w:r w:rsidRPr="005411FA">
        <w:rPr>
          <w:sz w:val="24"/>
        </w:rPr>
        <w:t>Comme deux généraux se préparant l'un contre l'autre, s'il y a une opportunité, saisissez-la. Les anciens disaient: «ne considérez pas un cœur vertueux comme bon; il faut être capable de tromperies subtiles. »</w:t>
      </w:r>
      <w:r w:rsidR="00D53D0D">
        <w:rPr>
          <w:rStyle w:val="Appeldenotedefin"/>
          <w:sz w:val="24"/>
        </w:rPr>
        <w:endnoteReference w:id="9"/>
      </w:r>
    </w:p>
    <w:p w:rsidR="00CB6985" w:rsidRPr="005411FA" w:rsidRDefault="00CB6985" w:rsidP="00CB6985">
      <w:pPr>
        <w:pStyle w:val="Sansinterligne"/>
        <w:rPr>
          <w:sz w:val="24"/>
        </w:rPr>
      </w:pPr>
      <w:r w:rsidRPr="005411FA">
        <w:rPr>
          <w:sz w:val="24"/>
        </w:rPr>
        <w:t>Si vos intentions se situent au sud-est, jouez trompeusement au nord-ouest. Comme dans l'invasion de Guo</w:t>
      </w:r>
      <w:r w:rsidR="00D53D0D">
        <w:rPr>
          <w:rStyle w:val="Appeldenotedefin"/>
          <w:sz w:val="24"/>
        </w:rPr>
        <w:endnoteReference w:id="10"/>
      </w:r>
      <w:r w:rsidRPr="005411FA">
        <w:rPr>
          <w:sz w:val="24"/>
        </w:rPr>
        <w:t xml:space="preserve"> par le Seigneur de Jin, ayez des plans ultérieurs; ou comme </w:t>
      </w:r>
      <w:proofErr w:type="spellStart"/>
      <w:r w:rsidRPr="005411FA">
        <w:rPr>
          <w:sz w:val="24"/>
        </w:rPr>
        <w:t>Zhuge</w:t>
      </w:r>
      <w:proofErr w:type="spellEnd"/>
      <w:r w:rsidRPr="005411FA">
        <w:rPr>
          <w:sz w:val="24"/>
        </w:rPr>
        <w:t xml:space="preserve"> [Liang] mettant en œuvre la [ville] «vide», </w:t>
      </w:r>
      <w:r>
        <w:rPr>
          <w:sz w:val="24"/>
        </w:rPr>
        <w:t>soyez</w:t>
      </w:r>
      <w:r w:rsidRPr="005411FA">
        <w:rPr>
          <w:sz w:val="24"/>
        </w:rPr>
        <w:t xml:space="preserve"> </w:t>
      </w:r>
      <w:r w:rsidR="001D2576" w:rsidRPr="005411FA">
        <w:rPr>
          <w:sz w:val="24"/>
        </w:rPr>
        <w:t xml:space="preserve">souvent </w:t>
      </w:r>
      <w:r w:rsidRPr="005411FA">
        <w:rPr>
          <w:sz w:val="24"/>
        </w:rPr>
        <w:t xml:space="preserve">capable de créer de </w:t>
      </w:r>
      <w:r>
        <w:rPr>
          <w:sz w:val="24"/>
        </w:rPr>
        <w:t>belles désillusion</w:t>
      </w:r>
      <w:r w:rsidRPr="005411FA">
        <w:rPr>
          <w:sz w:val="24"/>
        </w:rPr>
        <w:t>s.</w:t>
      </w:r>
      <w:r w:rsidR="00F42C95">
        <w:rPr>
          <w:rStyle w:val="Appeldenotedefin"/>
          <w:sz w:val="24"/>
        </w:rPr>
        <w:endnoteReference w:id="11"/>
      </w:r>
    </w:p>
    <w:p w:rsidR="00CB6985" w:rsidRPr="005411FA" w:rsidRDefault="00CB6985" w:rsidP="00D937CF">
      <w:pPr>
        <w:pStyle w:val="Sansinterligne"/>
        <w:jc w:val="both"/>
        <w:rPr>
          <w:sz w:val="24"/>
        </w:rPr>
      </w:pPr>
      <w:r w:rsidRPr="005411FA">
        <w:rPr>
          <w:sz w:val="24"/>
        </w:rPr>
        <w:lastRenderedPageBreak/>
        <w:t xml:space="preserve">Parce que les </w:t>
      </w:r>
      <w:r>
        <w:rPr>
          <w:sz w:val="24"/>
        </w:rPr>
        <w:t>coups</w:t>
      </w:r>
      <w:r w:rsidRPr="005411FA">
        <w:rPr>
          <w:sz w:val="24"/>
        </w:rPr>
        <w:t xml:space="preserve"> précédents ne peuvent pas être modifiés, les regrets ultérieurs sont vraiment difficiles à supporter. Au go, il y a un nombre </w:t>
      </w:r>
      <w:r>
        <w:rPr>
          <w:sz w:val="24"/>
        </w:rPr>
        <w:t>il</w:t>
      </w:r>
      <w:r w:rsidRPr="005411FA">
        <w:rPr>
          <w:sz w:val="24"/>
        </w:rPr>
        <w:t>limité de pièces, et les situations doivent donc être soigneusement examinées. Ne laissez pas les armées vaincues revenir en rébellion pour vous mettre en colère, briser l'encerclement</w:t>
      </w:r>
      <w:r w:rsidR="00F42C95">
        <w:rPr>
          <w:rStyle w:val="Appeldenotedefin"/>
          <w:sz w:val="24"/>
        </w:rPr>
        <w:endnoteReference w:id="12"/>
      </w:r>
      <w:r w:rsidRPr="005411FA">
        <w:rPr>
          <w:sz w:val="24"/>
        </w:rPr>
        <w:t xml:space="preserve"> et ressusciter. Les pièces dans ces situations ne sont pas d'un seul type: certaines induisent </w:t>
      </w:r>
      <w:r w:rsidR="00A46A89">
        <w:rPr>
          <w:sz w:val="24"/>
        </w:rPr>
        <w:t>une échelle</w:t>
      </w:r>
      <w:bookmarkStart w:id="0" w:name="_GoBack"/>
      <w:bookmarkEnd w:id="0"/>
      <w:r w:rsidRPr="005411FA">
        <w:rPr>
          <w:sz w:val="24"/>
        </w:rPr>
        <w:t xml:space="preserve"> et se précipitent comme des vagues; certaines suivent </w:t>
      </w:r>
      <w:r w:rsidR="00A46A89">
        <w:rPr>
          <w:sz w:val="24"/>
        </w:rPr>
        <w:t xml:space="preserve">une </w:t>
      </w:r>
      <w:r w:rsidRPr="005411FA">
        <w:rPr>
          <w:sz w:val="24"/>
        </w:rPr>
        <w:t>échelle et sont plutôt perdues</w:t>
      </w:r>
      <w:r w:rsidR="00F42C95">
        <w:rPr>
          <w:rStyle w:val="Appeldenotedefin"/>
          <w:sz w:val="24"/>
        </w:rPr>
        <w:endnoteReference w:id="13"/>
      </w:r>
      <w:r w:rsidRPr="005411FA">
        <w:rPr>
          <w:sz w:val="24"/>
        </w:rPr>
        <w:t xml:space="preserve">; </w:t>
      </w:r>
      <w:r w:rsidR="00A46A89">
        <w:rPr>
          <w:sz w:val="24"/>
        </w:rPr>
        <w:t xml:space="preserve">certaines vont au-devant de la </w:t>
      </w:r>
      <w:r w:rsidRPr="005411FA">
        <w:rPr>
          <w:sz w:val="24"/>
        </w:rPr>
        <w:t>mort pour rester en vie; certain</w:t>
      </w:r>
      <w:r w:rsidR="00A46A89">
        <w:rPr>
          <w:sz w:val="24"/>
        </w:rPr>
        <w:t>e</w:t>
      </w:r>
      <w:r w:rsidRPr="005411FA">
        <w:rPr>
          <w:sz w:val="24"/>
        </w:rPr>
        <w:t xml:space="preserve">s invitent le danger </w:t>
      </w:r>
      <w:r w:rsidR="001D2576">
        <w:rPr>
          <w:sz w:val="24"/>
        </w:rPr>
        <w:t xml:space="preserve">en </w:t>
      </w:r>
      <w:r w:rsidRPr="005411FA">
        <w:rPr>
          <w:sz w:val="24"/>
        </w:rPr>
        <w:t xml:space="preserve">cherchant </w:t>
      </w:r>
      <w:r w:rsidR="001D2576">
        <w:rPr>
          <w:sz w:val="24"/>
        </w:rPr>
        <w:t>un kô</w:t>
      </w:r>
      <w:r w:rsidRPr="005411FA">
        <w:rPr>
          <w:sz w:val="24"/>
        </w:rPr>
        <w:t>.</w:t>
      </w:r>
    </w:p>
    <w:p w:rsidR="00CB6985" w:rsidRPr="005411FA" w:rsidRDefault="00CB6985" w:rsidP="00D937CF">
      <w:pPr>
        <w:pStyle w:val="Sansinterligne"/>
        <w:jc w:val="both"/>
        <w:rPr>
          <w:sz w:val="24"/>
        </w:rPr>
      </w:pPr>
      <w:r w:rsidRPr="005411FA">
        <w:rPr>
          <w:sz w:val="24"/>
        </w:rPr>
        <w:t>Lorsque les armées s'engagent et que les deux s'affrontent, arrêtez la bataille et étudiez attentivement. Renforcez les groupes faibles, car les plus faibles seront attaqués en premier. Même si les groupes forts sont autosuffisants, construisez toujours du territoire. Il faut empiéter sur les groupes faibles, car l'empiètement apporte des profits. Ne fortifiez pas inutilement les groupes vivants. N'essayez pas de sauver des pièces déjà mortes. Ne coupez pas deux groupes vivants. Ne liez pas deux groupes morts. Il n'y a aucun avantage à créer des liens</w:t>
      </w:r>
      <w:r w:rsidR="001D2576">
        <w:rPr>
          <w:sz w:val="24"/>
        </w:rPr>
        <w:t xml:space="preserve"> entre eux</w:t>
      </w:r>
      <w:r w:rsidRPr="005411FA">
        <w:rPr>
          <w:sz w:val="24"/>
        </w:rPr>
        <w:t>, et la coupe perd son sens. Au Go, il y a la notion de «perdre un» et de «jouer pour en gagner deux». Si vous entrez dans les zones de [votre adversaire] et attaquez ses frontières, vous serez souvent sente</w:t>
      </w:r>
      <w:r w:rsidR="00F42C95">
        <w:rPr>
          <w:rStyle w:val="Appeldenotedefin"/>
          <w:sz w:val="24"/>
        </w:rPr>
        <w:endnoteReference w:id="14"/>
      </w:r>
      <w:r w:rsidRPr="005411FA">
        <w:rPr>
          <w:sz w:val="24"/>
        </w:rPr>
        <w:t>.</w:t>
      </w:r>
    </w:p>
    <w:p w:rsidR="00CB6985" w:rsidRPr="005411FA" w:rsidRDefault="00CB6985" w:rsidP="00D937CF">
      <w:pPr>
        <w:pStyle w:val="Sansinterligne"/>
        <w:jc w:val="both"/>
        <w:rPr>
          <w:sz w:val="24"/>
        </w:rPr>
      </w:pPr>
      <w:r w:rsidRPr="005411FA">
        <w:rPr>
          <w:sz w:val="24"/>
        </w:rPr>
        <w:t>Chaque fois qu'i</w:t>
      </w:r>
      <w:r>
        <w:rPr>
          <w:sz w:val="24"/>
        </w:rPr>
        <w:t>l y a une situation de ko, celui</w:t>
      </w:r>
      <w:r w:rsidRPr="005411FA">
        <w:rPr>
          <w:sz w:val="24"/>
        </w:rPr>
        <w:t xml:space="preserve"> qui a  créé </w:t>
      </w:r>
      <w:r>
        <w:rPr>
          <w:sz w:val="24"/>
        </w:rPr>
        <w:t>le premier la forme a</w:t>
      </w:r>
      <w:r w:rsidRPr="005411FA">
        <w:rPr>
          <w:sz w:val="24"/>
        </w:rPr>
        <w:t xml:space="preserve"> un avantage stratégique; celui qui est désavantagé est le plus faible qui ne l'a pas fait. Si la planification est excellente, alors on peut sauver [les pièces] de l'extérieur; mais s'il n'y a que des opportunités mineures, il faut rationnellement </w:t>
      </w:r>
      <w:r>
        <w:rPr>
          <w:sz w:val="24"/>
        </w:rPr>
        <w:t>garder</w:t>
      </w:r>
      <w:r w:rsidRPr="005411FA">
        <w:rPr>
          <w:sz w:val="24"/>
        </w:rPr>
        <w:t xml:space="preserve"> la main.</w:t>
      </w:r>
    </w:p>
    <w:p w:rsidR="00CB6985" w:rsidRDefault="00CB6985" w:rsidP="00D937CF">
      <w:pPr>
        <w:pStyle w:val="Sansinterligne"/>
        <w:jc w:val="both"/>
        <w:rPr>
          <w:sz w:val="24"/>
        </w:rPr>
      </w:pPr>
      <w:r w:rsidRPr="005411FA">
        <w:rPr>
          <w:sz w:val="24"/>
        </w:rPr>
        <w:t xml:space="preserve">Bien que cet essai soit </w:t>
      </w:r>
      <w:r>
        <w:rPr>
          <w:sz w:val="24"/>
        </w:rPr>
        <w:t>court</w:t>
      </w:r>
      <w:r w:rsidRPr="005411FA">
        <w:rPr>
          <w:sz w:val="24"/>
        </w:rPr>
        <w:t xml:space="preserve"> et</w:t>
      </w:r>
      <w:r>
        <w:rPr>
          <w:sz w:val="24"/>
        </w:rPr>
        <w:t xml:space="preserve"> maladroit, il peut refléter le schéma</w:t>
      </w:r>
      <w:r w:rsidRPr="005411FA">
        <w:rPr>
          <w:sz w:val="24"/>
        </w:rPr>
        <w:t xml:space="preserve"> des </w:t>
      </w:r>
      <w:r>
        <w:rPr>
          <w:sz w:val="24"/>
        </w:rPr>
        <w:t>situations</w:t>
      </w:r>
      <w:r w:rsidRPr="005411FA">
        <w:rPr>
          <w:sz w:val="24"/>
        </w:rPr>
        <w:t>. Ceux qui jouent en conséqu</w:t>
      </w:r>
      <w:r>
        <w:rPr>
          <w:sz w:val="24"/>
        </w:rPr>
        <w:t>ence resteront en vie sans perdre</w:t>
      </w:r>
      <w:r w:rsidRPr="005411FA">
        <w:rPr>
          <w:sz w:val="24"/>
        </w:rPr>
        <w:t>.</w:t>
      </w:r>
    </w:p>
    <w:p w:rsidR="001862CE" w:rsidRPr="005411FA" w:rsidRDefault="001862CE" w:rsidP="00CB6985">
      <w:pPr>
        <w:pStyle w:val="Sansinterligne"/>
        <w:rPr>
          <w:sz w:val="24"/>
        </w:rPr>
      </w:pPr>
    </w:p>
    <w:p w:rsidR="00B026D9" w:rsidRPr="008C5C35" w:rsidRDefault="00003374" w:rsidP="008C5C35">
      <w:pPr>
        <w:pStyle w:val="Sansinterligne"/>
        <w:rPr>
          <w:sz w:val="24"/>
          <w:szCs w:val="24"/>
        </w:rPr>
      </w:pPr>
      <w:r>
        <w:rPr>
          <w:sz w:val="24"/>
          <w:szCs w:val="24"/>
        </w:rPr>
        <w:t>La s</w:t>
      </w:r>
      <w:r w:rsidR="001876EA" w:rsidRPr="008C5C35">
        <w:rPr>
          <w:sz w:val="24"/>
          <w:szCs w:val="24"/>
        </w:rPr>
        <w:t>ection 2 explique les stratégies associées aux échelles</w:t>
      </w:r>
      <w:r w:rsidR="001876EA" w:rsidRPr="008C5C35">
        <w:rPr>
          <w:rFonts w:ascii="Arial" w:hAnsi="Arial" w:cs="Arial"/>
          <w:color w:val="202122"/>
          <w:sz w:val="24"/>
          <w:szCs w:val="24"/>
          <w:shd w:val="clear" w:color="auto" w:fill="FFFFFF"/>
        </w:rPr>
        <w:t>誘</w:t>
      </w:r>
      <w:r w:rsidR="001876EA" w:rsidRPr="008C5C35">
        <w:rPr>
          <w:rFonts w:ascii="MS Gothic" w:eastAsia="MS Gothic" w:hAnsi="MS Gothic" w:cs="MS Gothic" w:hint="eastAsia"/>
          <w:color w:val="202122"/>
          <w:sz w:val="24"/>
          <w:szCs w:val="24"/>
          <w:shd w:val="clear" w:color="auto" w:fill="FFFFFF"/>
        </w:rPr>
        <w:t>征</w:t>
      </w:r>
      <w:r w:rsidR="001876EA" w:rsidRPr="008C5C35">
        <w:rPr>
          <w:sz w:val="24"/>
          <w:szCs w:val="24"/>
        </w:rPr>
        <w:t>.</w:t>
      </w:r>
    </w:p>
    <w:p w:rsidR="008C5C35" w:rsidRPr="001876EA" w:rsidRDefault="008C5C35" w:rsidP="008C5C35">
      <w:pPr>
        <w:pStyle w:val="Sansinterligne"/>
      </w:pPr>
    </w:p>
    <w:p w:rsidR="001876EA" w:rsidRPr="008C5C35" w:rsidRDefault="00003374">
      <w:pPr>
        <w:rPr>
          <w:rFonts w:ascii="Arial" w:hAnsi="Arial" w:cs="Arial"/>
          <w:color w:val="202122"/>
          <w:sz w:val="24"/>
          <w:szCs w:val="24"/>
          <w:shd w:val="clear" w:color="auto" w:fill="FFFFFF"/>
        </w:rPr>
      </w:pPr>
      <w:r>
        <w:rPr>
          <w:sz w:val="24"/>
          <w:szCs w:val="24"/>
        </w:rPr>
        <w:t>La s</w:t>
      </w:r>
      <w:r w:rsidR="001876EA" w:rsidRPr="008C5C35">
        <w:rPr>
          <w:sz w:val="24"/>
          <w:szCs w:val="24"/>
        </w:rPr>
        <w:t>ection 3</w:t>
      </w:r>
      <w:r w:rsidR="001876EA" w:rsidRPr="008C5C35">
        <w:rPr>
          <w:rFonts w:ascii="Arial" w:hAnsi="Arial" w:cs="Arial"/>
          <w:color w:val="202122"/>
          <w:sz w:val="24"/>
          <w:szCs w:val="24"/>
          <w:shd w:val="clear" w:color="auto" w:fill="FFFFFF"/>
        </w:rPr>
        <w:t>勢用</w:t>
      </w:r>
      <w:r w:rsidR="001876EA" w:rsidRPr="008C5C35">
        <w:rPr>
          <w:rFonts w:ascii="MS Gothic" w:eastAsia="MS Gothic" w:hAnsi="MS Gothic" w:cs="MS Gothic" w:hint="eastAsia"/>
          <w:color w:val="202122"/>
          <w:sz w:val="24"/>
          <w:szCs w:val="24"/>
          <w:shd w:val="clear" w:color="auto" w:fill="FFFFFF"/>
        </w:rPr>
        <w:t>篇</w:t>
      </w:r>
      <w:r w:rsidR="001876EA" w:rsidRPr="008C5C35">
        <w:rPr>
          <w:rFonts w:ascii="MS Gothic" w:eastAsia="MS Gothic" w:hAnsi="MS Gothic" w:cs="MS Gothic"/>
          <w:color w:val="202122"/>
          <w:sz w:val="24"/>
          <w:szCs w:val="24"/>
          <w:shd w:val="clear" w:color="auto" w:fill="FFFFFF"/>
        </w:rPr>
        <w:t xml:space="preserve"> </w:t>
      </w:r>
      <w:r w:rsidR="001876EA" w:rsidRPr="008C5C35">
        <w:rPr>
          <w:sz w:val="24"/>
          <w:szCs w:val="24"/>
        </w:rPr>
        <w:t>examine les bonnes et mauvaises formes des groupes de pierres et donne des exemples de formes vivantes ou mortes et note par exemple que le 4-courbés</w:t>
      </w:r>
      <w:r w:rsidR="000F560E" w:rsidRPr="008C5C35">
        <w:rPr>
          <w:sz w:val="24"/>
          <w:szCs w:val="24"/>
        </w:rPr>
        <w:t xml:space="preserve"> dans le coin e</w:t>
      </w:r>
      <w:r w:rsidR="001876EA" w:rsidRPr="008C5C35">
        <w:rPr>
          <w:sz w:val="24"/>
          <w:szCs w:val="24"/>
        </w:rPr>
        <w:t>s</w:t>
      </w:r>
      <w:r w:rsidR="000F560E" w:rsidRPr="008C5C35">
        <w:rPr>
          <w:sz w:val="24"/>
          <w:szCs w:val="24"/>
        </w:rPr>
        <w:t>t</w:t>
      </w:r>
      <w:r w:rsidR="001876EA" w:rsidRPr="008C5C35">
        <w:rPr>
          <w:sz w:val="24"/>
          <w:szCs w:val="24"/>
        </w:rPr>
        <w:t xml:space="preserve"> mort à la fin de la partie </w:t>
      </w:r>
      <w:r w:rsidR="001876EA" w:rsidRPr="008C5C35">
        <w:rPr>
          <w:rFonts w:ascii="Arial" w:hAnsi="Arial" w:cs="Arial"/>
          <w:color w:val="202122"/>
          <w:sz w:val="24"/>
          <w:szCs w:val="24"/>
          <w:shd w:val="clear" w:color="auto" w:fill="FFFFFF"/>
        </w:rPr>
        <w:t>(</w:t>
      </w:r>
      <w:r w:rsidR="001876EA" w:rsidRPr="008C5C35">
        <w:rPr>
          <w:rFonts w:ascii="Arial" w:hAnsi="Arial" w:cs="Arial"/>
          <w:color w:val="202122"/>
          <w:sz w:val="24"/>
          <w:szCs w:val="24"/>
          <w:shd w:val="clear" w:color="auto" w:fill="FFFFFF"/>
        </w:rPr>
        <w:t>角傍曲四，局竟乃亡</w:t>
      </w:r>
      <w:r w:rsidR="001876EA" w:rsidRPr="008C5C35">
        <w:rPr>
          <w:rFonts w:ascii="Arial" w:hAnsi="Arial" w:cs="Arial"/>
          <w:color w:val="202122"/>
          <w:sz w:val="24"/>
          <w:szCs w:val="24"/>
          <w:shd w:val="clear" w:color="auto" w:fill="FFFFFF"/>
        </w:rPr>
        <w:t>)</w:t>
      </w:r>
    </w:p>
    <w:p w:rsidR="001876EA" w:rsidRPr="008C5C35" w:rsidRDefault="00003374">
      <w:pPr>
        <w:rPr>
          <w:sz w:val="24"/>
          <w:szCs w:val="24"/>
        </w:rPr>
      </w:pPr>
      <w:r>
        <w:rPr>
          <w:sz w:val="24"/>
          <w:szCs w:val="24"/>
        </w:rPr>
        <w:t>La s</w:t>
      </w:r>
      <w:r w:rsidR="001876EA" w:rsidRPr="008C5C35">
        <w:rPr>
          <w:sz w:val="24"/>
          <w:szCs w:val="24"/>
        </w:rPr>
        <w:t xml:space="preserve">ection 4 </w:t>
      </w:r>
      <w:r w:rsidR="001876EA" w:rsidRPr="008C5C35">
        <w:rPr>
          <w:sz w:val="24"/>
          <w:szCs w:val="24"/>
        </w:rPr>
        <w:t>像名</w:t>
      </w:r>
      <w:r w:rsidR="001876EA" w:rsidRPr="008C5C35">
        <w:rPr>
          <w:sz w:val="24"/>
          <w:szCs w:val="24"/>
        </w:rPr>
        <w:t>explique le symbolisme du plateau de go et les noms symboliques donnés à différentes position sur le jeu. Par exemple, les pierres de go sont rondes en imitation au ciel et le plateau est carré comme la terre : les 361 intersections sur le plateau reflètent la division de l’</w:t>
      </w:r>
      <w:r w:rsidR="003B7B46" w:rsidRPr="008C5C35">
        <w:rPr>
          <w:sz w:val="24"/>
          <w:szCs w:val="24"/>
        </w:rPr>
        <w:t>écliptique (</w:t>
      </w:r>
      <w:r w:rsidR="001876EA" w:rsidRPr="008C5C35">
        <w:rPr>
          <w:sz w:val="24"/>
          <w:szCs w:val="24"/>
        </w:rPr>
        <w:t>en 365 jours) (</w:t>
      </w:r>
      <w:r w:rsidR="001876EA" w:rsidRPr="008C5C35">
        <w:rPr>
          <w:sz w:val="24"/>
          <w:szCs w:val="24"/>
        </w:rPr>
        <w:t>碁子圓以法天，碁局方以類地。碁有三百六十一道，倣周天之道數</w:t>
      </w:r>
      <w:r w:rsidR="001876EA" w:rsidRPr="008C5C35">
        <w:rPr>
          <w:sz w:val="24"/>
          <w:szCs w:val="24"/>
        </w:rPr>
        <w:t xml:space="preserve">). La mention explicite des 361 intersections montre que l’auteur du manuel </w:t>
      </w:r>
      <w:r w:rsidR="008B7F76" w:rsidRPr="008C5C35">
        <w:rPr>
          <w:sz w:val="24"/>
          <w:szCs w:val="24"/>
        </w:rPr>
        <w:t>était</w:t>
      </w:r>
      <w:r w:rsidR="001876EA" w:rsidRPr="008C5C35">
        <w:rPr>
          <w:sz w:val="24"/>
          <w:szCs w:val="24"/>
        </w:rPr>
        <w:t xml:space="preserve"> habitué au jeu 19*19 et non au plus ancien jeu 17*17</w:t>
      </w:r>
      <w:r w:rsidR="003B7B46" w:rsidRPr="008C5C35">
        <w:rPr>
          <w:sz w:val="24"/>
          <w:szCs w:val="24"/>
        </w:rPr>
        <w:t xml:space="preserve"> dont l’évidence archéologique remonte à la fin de l’époque Han ( - 206 à 220)  et aux peintures antérieures au milieu du 8è siècle. </w:t>
      </w:r>
    </w:p>
    <w:p w:rsidR="004A1036" w:rsidRPr="008C5C35" w:rsidRDefault="00003374">
      <w:pPr>
        <w:rPr>
          <w:rFonts w:ascii="Arial" w:hAnsi="Arial" w:cs="Arial"/>
          <w:color w:val="202122"/>
          <w:sz w:val="24"/>
          <w:szCs w:val="24"/>
          <w:shd w:val="clear" w:color="auto" w:fill="FFFFFF"/>
        </w:rPr>
      </w:pPr>
      <w:r>
        <w:rPr>
          <w:sz w:val="24"/>
          <w:szCs w:val="24"/>
        </w:rPr>
        <w:t>La s</w:t>
      </w:r>
      <w:r w:rsidR="004A1036" w:rsidRPr="008C5C35">
        <w:rPr>
          <w:sz w:val="24"/>
          <w:szCs w:val="24"/>
        </w:rPr>
        <w:t xml:space="preserve">ection 5 </w:t>
      </w:r>
      <w:r w:rsidR="004A1036" w:rsidRPr="008C5C35">
        <w:rPr>
          <w:sz w:val="24"/>
          <w:szCs w:val="24"/>
        </w:rPr>
        <w:t>釋圖勢篇</w:t>
      </w:r>
      <w:r w:rsidR="004A1036" w:rsidRPr="008C5C35">
        <w:rPr>
          <w:sz w:val="24"/>
          <w:szCs w:val="24"/>
        </w:rPr>
        <w:t xml:space="preserve"> exprime l’importance des diagrammes de go pour maitriser le jeu. Il n’y a aucun exemple de diagrammes mais Cheng </w:t>
      </w:r>
      <w:proofErr w:type="spellStart"/>
      <w:r w:rsidR="004A1036" w:rsidRPr="008C5C35">
        <w:rPr>
          <w:sz w:val="24"/>
          <w:szCs w:val="24"/>
        </w:rPr>
        <w:t>Enyuan</w:t>
      </w:r>
      <w:proofErr w:type="spellEnd"/>
      <w:r w:rsidR="004A1036" w:rsidRPr="008C5C35">
        <w:rPr>
          <w:sz w:val="24"/>
          <w:szCs w:val="24"/>
        </w:rPr>
        <w:t xml:space="preserve"> (1917-1989) suggère que le texte original a pu inclure un ensemble de diagrammes illustrant de positions et des stratégies du jeu</w:t>
      </w:r>
      <w:r w:rsidR="004A1036" w:rsidRPr="008C5C35">
        <w:rPr>
          <w:rFonts w:ascii="Arial" w:hAnsi="Arial" w:cs="Arial"/>
          <w:color w:val="202122"/>
          <w:sz w:val="24"/>
          <w:szCs w:val="24"/>
          <w:shd w:val="clear" w:color="auto" w:fill="FFFFFF"/>
        </w:rPr>
        <w:t>.</w:t>
      </w:r>
    </w:p>
    <w:p w:rsidR="000F560E" w:rsidRPr="008C5C35" w:rsidRDefault="00003374" w:rsidP="004A1036">
      <w:pPr>
        <w:pStyle w:val="NormalWeb"/>
        <w:shd w:val="clear" w:color="auto" w:fill="FFFFFF"/>
        <w:spacing w:before="120" w:beforeAutospacing="0" w:after="120" w:afterAutospacing="0"/>
        <w:rPr>
          <w:rFonts w:asciiTheme="minorHAnsi" w:eastAsiaTheme="minorEastAsia" w:hAnsiTheme="minorHAnsi" w:cstheme="minorBidi"/>
        </w:rPr>
      </w:pPr>
      <w:r>
        <w:rPr>
          <w:rFonts w:asciiTheme="minorHAnsi" w:eastAsiaTheme="minorEastAsia" w:hAnsiTheme="minorHAnsi" w:cstheme="minorBidi"/>
        </w:rPr>
        <w:t>La s</w:t>
      </w:r>
      <w:r w:rsidR="004A1036" w:rsidRPr="008C5C35">
        <w:rPr>
          <w:rFonts w:asciiTheme="minorHAnsi" w:eastAsiaTheme="minorEastAsia" w:hAnsiTheme="minorHAnsi" w:cstheme="minorBidi"/>
        </w:rPr>
        <w:t xml:space="preserve">ection 6 </w:t>
      </w:r>
      <w:r w:rsidR="004A1036" w:rsidRPr="008C5C35">
        <w:rPr>
          <w:rFonts w:asciiTheme="minorHAnsi" w:eastAsiaTheme="minorEastAsia" w:hAnsiTheme="minorHAnsi" w:cstheme="minorBidi" w:hint="eastAsia"/>
        </w:rPr>
        <w:t>碁制篇</w:t>
      </w:r>
      <w:r w:rsidR="000F560E" w:rsidRPr="008C5C35">
        <w:rPr>
          <w:rFonts w:asciiTheme="minorHAnsi" w:eastAsiaTheme="minorEastAsia" w:hAnsiTheme="minorHAnsi" w:cstheme="minorBidi"/>
        </w:rPr>
        <w:t>explique les règles de conduit lorsque l’on joue au go, par exemple en notant que lorsqu’une pierre a été jouée, elle ne peut être déplacée</w:t>
      </w:r>
      <w:r w:rsidR="004A1036" w:rsidRPr="008C5C35">
        <w:rPr>
          <w:rFonts w:asciiTheme="minorHAnsi" w:eastAsiaTheme="minorEastAsia" w:hAnsiTheme="minorHAnsi" w:cstheme="minorBidi"/>
        </w:rPr>
        <w:t xml:space="preserve"> (</w:t>
      </w:r>
      <w:r w:rsidR="004A1036" w:rsidRPr="008C5C35">
        <w:rPr>
          <w:rFonts w:asciiTheme="minorHAnsi" w:eastAsiaTheme="minorEastAsia" w:hAnsiTheme="minorHAnsi" w:cstheme="minorBidi" w:hint="eastAsia"/>
        </w:rPr>
        <w:t>下子之法，不許再移</w:t>
      </w:r>
      <w:r w:rsidR="004A1036" w:rsidRPr="008C5C35">
        <w:rPr>
          <w:rFonts w:asciiTheme="minorHAnsi" w:eastAsiaTheme="minorEastAsia" w:hAnsiTheme="minorHAnsi" w:cstheme="minorBidi"/>
        </w:rPr>
        <w:t xml:space="preserve">). </w:t>
      </w:r>
      <w:r w:rsidR="004A1036" w:rsidRPr="008C5C35">
        <w:rPr>
          <w:rFonts w:asciiTheme="minorHAnsi" w:eastAsiaTheme="minorEastAsia" w:hAnsiTheme="minorHAnsi" w:cstheme="minorBidi"/>
        </w:rPr>
        <w:lastRenderedPageBreak/>
        <w:t xml:space="preserve">Cheng </w:t>
      </w:r>
      <w:proofErr w:type="spellStart"/>
      <w:r w:rsidR="004A1036" w:rsidRPr="008C5C35">
        <w:rPr>
          <w:rFonts w:asciiTheme="minorHAnsi" w:eastAsiaTheme="minorEastAsia" w:hAnsiTheme="minorHAnsi" w:cstheme="minorBidi"/>
        </w:rPr>
        <w:t>Enyuan</w:t>
      </w:r>
      <w:proofErr w:type="spellEnd"/>
      <w:r w:rsidR="004A1036" w:rsidRPr="008C5C35">
        <w:rPr>
          <w:rFonts w:asciiTheme="minorHAnsi" w:eastAsiaTheme="minorEastAsia" w:hAnsiTheme="minorHAnsi" w:cstheme="minorBidi"/>
        </w:rPr>
        <w:t xml:space="preserve"> notes </w:t>
      </w:r>
      <w:r w:rsidR="000F560E" w:rsidRPr="008C5C35">
        <w:rPr>
          <w:rFonts w:asciiTheme="minorHAnsi" w:eastAsiaTheme="minorEastAsia" w:hAnsiTheme="minorHAnsi" w:cstheme="minorBidi"/>
        </w:rPr>
        <w:t xml:space="preserve">que cette section est très difficile à comprendre parce qu’elle </w:t>
      </w:r>
      <w:proofErr w:type="gramStart"/>
      <w:r w:rsidR="000F560E" w:rsidRPr="008C5C35">
        <w:rPr>
          <w:rFonts w:asciiTheme="minorHAnsi" w:eastAsiaTheme="minorEastAsia" w:hAnsiTheme="minorHAnsi" w:cstheme="minorBidi"/>
        </w:rPr>
        <w:t>utilises</w:t>
      </w:r>
      <w:proofErr w:type="gramEnd"/>
      <w:r w:rsidR="000F560E" w:rsidRPr="008C5C35">
        <w:rPr>
          <w:rFonts w:asciiTheme="minorHAnsi" w:eastAsiaTheme="minorEastAsia" w:hAnsiTheme="minorHAnsi" w:cstheme="minorBidi"/>
        </w:rPr>
        <w:t xml:space="preserve"> de termes techniques obscurs et mentionne quelques pratiques obsolètes qui n’existent pas dans le go moderne.</w:t>
      </w:r>
    </w:p>
    <w:p w:rsidR="000F560E" w:rsidRPr="008C5C35" w:rsidRDefault="000F560E" w:rsidP="004A1036">
      <w:pPr>
        <w:pStyle w:val="NormalWeb"/>
        <w:shd w:val="clear" w:color="auto" w:fill="FFFFFF"/>
        <w:spacing w:before="120" w:beforeAutospacing="0" w:after="120" w:afterAutospacing="0"/>
        <w:rPr>
          <w:rFonts w:asciiTheme="minorHAnsi" w:eastAsiaTheme="minorEastAsia" w:hAnsiTheme="minorHAnsi" w:cstheme="minorBidi"/>
        </w:rPr>
      </w:pPr>
      <w:r w:rsidRPr="008C5C35">
        <w:rPr>
          <w:rFonts w:asciiTheme="minorHAnsi" w:eastAsiaTheme="minorEastAsia" w:hAnsiTheme="minorHAnsi" w:cstheme="minorBidi"/>
        </w:rPr>
        <w:t xml:space="preserve"> En particulier, on fait </w:t>
      </w:r>
      <w:r w:rsidR="008B7F76" w:rsidRPr="008C5C35">
        <w:rPr>
          <w:rFonts w:asciiTheme="minorHAnsi" w:eastAsiaTheme="minorEastAsia" w:hAnsiTheme="minorHAnsi" w:cstheme="minorBidi"/>
        </w:rPr>
        <w:t>référence</w:t>
      </w:r>
      <w:r w:rsidRPr="008C5C35">
        <w:rPr>
          <w:rFonts w:asciiTheme="minorHAnsi" w:eastAsiaTheme="minorEastAsia" w:hAnsiTheme="minorHAnsi" w:cstheme="minorBidi"/>
        </w:rPr>
        <w:t xml:space="preserve"> plusieurs fois à l’utilisation de baguettes de comptage </w:t>
      </w:r>
      <w:r w:rsidR="004A1036" w:rsidRPr="008C5C35">
        <w:rPr>
          <w:rFonts w:asciiTheme="minorHAnsi" w:eastAsiaTheme="minorEastAsia" w:hAnsiTheme="minorHAnsi" w:cstheme="minorBidi"/>
        </w:rPr>
        <w:t>(</w:t>
      </w:r>
      <w:r w:rsidR="008B7F76" w:rsidRPr="008C5C35">
        <w:rPr>
          <w:rFonts w:asciiTheme="minorHAnsi" w:eastAsiaTheme="minorEastAsia" w:hAnsiTheme="minorHAnsi" w:cstheme="minorBidi"/>
        </w:rPr>
        <w:t>Chinois</w:t>
      </w:r>
      <w:r w:rsidR="004A1036" w:rsidRPr="008C5C35">
        <w:rPr>
          <w:rFonts w:asciiTheme="minorHAnsi" w:eastAsiaTheme="minorEastAsia" w:hAnsiTheme="minorHAnsi" w:cstheme="minorBidi"/>
        </w:rPr>
        <w:t>: </w:t>
      </w:r>
      <w:r w:rsidR="004A1036" w:rsidRPr="008C5C35">
        <w:rPr>
          <w:rFonts w:asciiTheme="minorHAnsi" w:eastAsiaTheme="minorEastAsia" w:hAnsiTheme="minorHAnsi" w:cstheme="minorBidi" w:hint="eastAsia"/>
        </w:rPr>
        <w:t>籌</w:t>
      </w:r>
      <w:r w:rsidR="004A1036" w:rsidRPr="008C5C35">
        <w:rPr>
          <w:rFonts w:asciiTheme="minorHAnsi" w:eastAsiaTheme="minorEastAsia" w:hAnsiTheme="minorHAnsi" w:cstheme="minorBidi"/>
        </w:rPr>
        <w:t>; </w:t>
      </w:r>
      <w:hyperlink r:id="rId10" w:tooltip="Pinyin" w:history="1">
        <w:r w:rsidR="004A1036" w:rsidRPr="008C5C35">
          <w:rPr>
            <w:rFonts w:asciiTheme="minorHAnsi" w:eastAsiaTheme="minorEastAsia" w:hAnsiTheme="minorHAnsi" w:cstheme="minorBidi"/>
          </w:rPr>
          <w:t>pinyin</w:t>
        </w:r>
      </w:hyperlink>
      <w:r w:rsidR="004A1036" w:rsidRPr="008C5C35">
        <w:rPr>
          <w:rFonts w:asciiTheme="minorHAnsi" w:eastAsiaTheme="minorEastAsia" w:hAnsiTheme="minorHAnsi" w:cstheme="minorBidi"/>
        </w:rPr>
        <w:t>: </w:t>
      </w:r>
      <w:proofErr w:type="spellStart"/>
      <w:r w:rsidR="004A1036" w:rsidRPr="008C5C35">
        <w:rPr>
          <w:rFonts w:asciiTheme="minorHAnsi" w:eastAsiaTheme="minorEastAsia" w:hAnsiTheme="minorHAnsi" w:cstheme="minorBidi"/>
        </w:rPr>
        <w:t>chóu</w:t>
      </w:r>
      <w:proofErr w:type="spellEnd"/>
      <w:r w:rsidR="004A1036" w:rsidRPr="008C5C35">
        <w:rPr>
          <w:rFonts w:asciiTheme="minorHAnsi" w:eastAsiaTheme="minorEastAsia" w:hAnsiTheme="minorHAnsi" w:cstheme="minorBidi"/>
        </w:rPr>
        <w:t xml:space="preserve">), </w:t>
      </w:r>
      <w:r w:rsidRPr="008C5C35">
        <w:rPr>
          <w:rFonts w:asciiTheme="minorHAnsi" w:eastAsiaTheme="minorEastAsia" w:hAnsiTheme="minorHAnsi" w:cstheme="minorBidi"/>
        </w:rPr>
        <w:t>mais leur rôle exact pour le jeu est incertain.</w:t>
      </w:r>
    </w:p>
    <w:p w:rsidR="008B7F76" w:rsidRPr="008C5C35" w:rsidRDefault="00003374" w:rsidP="004A1036">
      <w:pPr>
        <w:pStyle w:val="NormalWeb"/>
        <w:shd w:val="clear" w:color="auto" w:fill="FFFFFF"/>
        <w:spacing w:before="120" w:beforeAutospacing="0" w:after="120" w:afterAutospacing="0"/>
        <w:rPr>
          <w:rFonts w:asciiTheme="minorHAnsi" w:eastAsiaTheme="minorEastAsia" w:hAnsiTheme="minorHAnsi" w:cstheme="minorBidi"/>
        </w:rPr>
      </w:pPr>
      <w:r>
        <w:rPr>
          <w:rFonts w:asciiTheme="minorHAnsi" w:eastAsiaTheme="minorEastAsia" w:hAnsiTheme="minorHAnsi" w:cstheme="minorBidi"/>
        </w:rPr>
        <w:t>La s</w:t>
      </w:r>
      <w:r w:rsidR="007364DC" w:rsidRPr="008C5C35">
        <w:rPr>
          <w:rFonts w:asciiTheme="minorHAnsi" w:eastAsiaTheme="minorEastAsia" w:hAnsiTheme="minorHAnsi" w:cstheme="minorBidi"/>
        </w:rPr>
        <w:t xml:space="preserve">ection 7 </w:t>
      </w:r>
      <w:r w:rsidR="007364DC" w:rsidRPr="008C5C35">
        <w:rPr>
          <w:rFonts w:asciiTheme="minorHAnsi" w:eastAsiaTheme="minorEastAsia" w:hAnsiTheme="minorHAnsi" w:cstheme="minorBidi" w:hint="eastAsia"/>
        </w:rPr>
        <w:t>部袠篇</w:t>
      </w:r>
      <w:r w:rsidR="007364DC" w:rsidRPr="008C5C35">
        <w:rPr>
          <w:rFonts w:asciiTheme="minorHAnsi" w:eastAsiaTheme="minorEastAsia" w:hAnsiTheme="minorHAnsi" w:cstheme="minorBidi"/>
        </w:rPr>
        <w:t>explique la classification des diagrammes de go en quatre catégories : parties célèbres, techniques astucieuses, bataille de kô et séki,  formes de vie et mort. Sont mentionnés 13 diagrammes de parties de go de la dynastie Han et 24 diagrammes de parties de Wu Est.</w:t>
      </w:r>
      <w:r w:rsidR="004961E3">
        <w:rPr>
          <w:rFonts w:asciiTheme="minorHAnsi" w:eastAsiaTheme="minorEastAsia" w:hAnsiTheme="minorHAnsi" w:cstheme="minorBidi"/>
        </w:rPr>
        <w:t xml:space="preserve"> </w:t>
      </w:r>
      <w:r w:rsidR="007364DC" w:rsidRPr="008C5C35">
        <w:rPr>
          <w:rFonts w:asciiTheme="minorHAnsi" w:eastAsiaTheme="minorEastAsia" w:hAnsiTheme="minorHAnsi" w:cstheme="minorBidi"/>
        </w:rPr>
        <w:t xml:space="preserve">Cela suggère qu’il y a eu une collection de parties anciennes de go, dont le seul exemple restant est une partie réputée jouée entre </w:t>
      </w:r>
      <w:hyperlink r:id="rId11" w:tooltip="Sun Ce" w:history="1">
        <w:r w:rsidR="007364DC" w:rsidRPr="008C5C35">
          <w:rPr>
            <w:rFonts w:asciiTheme="minorHAnsi" w:eastAsiaTheme="minorEastAsia" w:hAnsiTheme="minorHAnsi" w:cstheme="minorBidi"/>
          </w:rPr>
          <w:t>Sun Ce</w:t>
        </w:r>
      </w:hyperlink>
      <w:r w:rsidR="007364DC" w:rsidRPr="008C5C35">
        <w:rPr>
          <w:rFonts w:asciiTheme="minorHAnsi" w:eastAsiaTheme="minorEastAsia" w:hAnsiTheme="minorHAnsi" w:cstheme="minorBidi"/>
        </w:rPr>
        <w:t xml:space="preserve"> (175–200) et </w:t>
      </w:r>
      <w:hyperlink r:id="rId12" w:tooltip="Lü Fan" w:history="1">
        <w:proofErr w:type="spellStart"/>
        <w:r w:rsidR="007364DC" w:rsidRPr="008C5C35">
          <w:rPr>
            <w:rFonts w:asciiTheme="minorHAnsi" w:eastAsiaTheme="minorEastAsia" w:hAnsiTheme="minorHAnsi" w:cstheme="minorBidi"/>
          </w:rPr>
          <w:t>Lü</w:t>
        </w:r>
        <w:proofErr w:type="spellEnd"/>
        <w:r w:rsidR="007364DC" w:rsidRPr="008C5C35">
          <w:rPr>
            <w:rFonts w:asciiTheme="minorHAnsi" w:eastAsiaTheme="minorEastAsia" w:hAnsiTheme="minorHAnsi" w:cstheme="minorBidi"/>
          </w:rPr>
          <w:t xml:space="preserve"> Fan</w:t>
        </w:r>
      </w:hyperlink>
      <w:r w:rsidR="007364DC" w:rsidRPr="008C5C35">
        <w:rPr>
          <w:rFonts w:asciiTheme="minorHAnsi" w:eastAsiaTheme="minorEastAsia" w:hAnsiTheme="minorHAnsi" w:cstheme="minorBidi"/>
        </w:rPr>
        <w:t> (mort en 228).</w:t>
      </w:r>
    </w:p>
    <w:p w:rsidR="00D937CF" w:rsidRPr="00D937CF" w:rsidRDefault="00D937CF" w:rsidP="004A1036">
      <w:pPr>
        <w:pStyle w:val="NormalWeb"/>
        <w:shd w:val="clear" w:color="auto" w:fill="FFFFFF"/>
        <w:spacing w:before="120" w:beforeAutospacing="0" w:after="120" w:afterAutospacing="0"/>
        <w:rPr>
          <w:rFonts w:asciiTheme="minorHAnsi" w:eastAsiaTheme="minorEastAsia" w:hAnsiTheme="minorHAnsi" w:cstheme="minorBidi"/>
          <w:sz w:val="22"/>
          <w:szCs w:val="22"/>
        </w:rPr>
      </w:pPr>
      <w:r>
        <w:rPr>
          <w:rFonts w:asciiTheme="minorHAnsi" w:eastAsiaTheme="minorEastAsia" w:hAnsiTheme="minorHAnsi" w:cstheme="minorBidi"/>
          <w:sz w:val="22"/>
          <w:szCs w:val="22"/>
        </w:rPr>
        <w:t>A la suite du texte principal, il y a une section non numérotée intitulée « </w:t>
      </w:r>
      <w:r w:rsidR="00AC186E">
        <w:rPr>
          <w:rFonts w:asciiTheme="minorHAnsi" w:eastAsiaTheme="minorEastAsia" w:hAnsiTheme="minorHAnsi" w:cstheme="minorBidi"/>
          <w:sz w:val="22"/>
          <w:szCs w:val="22"/>
        </w:rPr>
        <w:t>Techniques des défauts de go</w:t>
      </w:r>
      <w:r>
        <w:rPr>
          <w:rFonts w:asciiTheme="minorHAnsi" w:eastAsiaTheme="minorEastAsia" w:hAnsiTheme="minorHAnsi" w:cstheme="minorBidi"/>
          <w:sz w:val="22"/>
          <w:szCs w:val="22"/>
        </w:rPr>
        <w:t> »</w:t>
      </w:r>
      <w:r w:rsidRPr="00D937CF">
        <w:rPr>
          <w:rFonts w:asciiTheme="minorHAnsi" w:eastAsiaTheme="minorEastAsia" w:hAnsiTheme="minorHAnsi" w:cstheme="minorBidi"/>
          <w:sz w:val="22"/>
          <w:szCs w:val="22"/>
        </w:rPr>
        <w:t xml:space="preserve"> " (</w:t>
      </w:r>
      <w:r w:rsidRPr="004A1036">
        <w:rPr>
          <w:rFonts w:asciiTheme="minorHAnsi" w:eastAsiaTheme="minorEastAsia" w:hAnsiTheme="minorHAnsi" w:cstheme="minorBidi" w:hint="eastAsia"/>
          <w:sz w:val="22"/>
          <w:szCs w:val="22"/>
        </w:rPr>
        <w:t>碁病法</w:t>
      </w:r>
      <w:r>
        <w:rPr>
          <w:rFonts w:asciiTheme="minorHAnsi" w:eastAsiaTheme="minorEastAsia" w:hAnsiTheme="minorHAnsi" w:cstheme="minorBidi"/>
          <w:sz w:val="22"/>
          <w:szCs w:val="22"/>
        </w:rPr>
        <w:t xml:space="preserve">), qui apparaît être un texte inconnu avant que le scribe </w:t>
      </w:r>
      <w:r w:rsidR="004961E3">
        <w:rPr>
          <w:rFonts w:asciiTheme="minorHAnsi" w:eastAsiaTheme="minorEastAsia" w:hAnsiTheme="minorHAnsi" w:cstheme="minorBidi"/>
          <w:sz w:val="22"/>
          <w:szCs w:val="22"/>
        </w:rPr>
        <w:t xml:space="preserve">ne l’ai </w:t>
      </w:r>
      <w:r>
        <w:rPr>
          <w:rFonts w:asciiTheme="minorHAnsi" w:eastAsiaTheme="minorEastAsia" w:hAnsiTheme="minorHAnsi" w:cstheme="minorBidi"/>
          <w:sz w:val="22"/>
          <w:szCs w:val="22"/>
        </w:rPr>
        <w:t>ajouté.</w:t>
      </w:r>
      <w:r w:rsidR="004961E3">
        <w:rPr>
          <w:rFonts w:asciiTheme="minorHAnsi" w:eastAsiaTheme="minorEastAsia" w:hAnsiTheme="minorHAnsi" w:cstheme="minorBidi"/>
          <w:sz w:val="22"/>
          <w:szCs w:val="22"/>
        </w:rPr>
        <w:t xml:space="preserve"> </w:t>
      </w:r>
      <w:r w:rsidR="004A1036" w:rsidRPr="00D937CF">
        <w:rPr>
          <w:rFonts w:asciiTheme="minorHAnsi" w:eastAsiaTheme="minorEastAsia" w:hAnsiTheme="minorHAnsi" w:cstheme="minorBidi"/>
          <w:sz w:val="22"/>
          <w:szCs w:val="22"/>
        </w:rPr>
        <w:t xml:space="preserve">Cheng </w:t>
      </w:r>
      <w:proofErr w:type="spellStart"/>
      <w:r w:rsidR="004A1036" w:rsidRPr="00D937CF">
        <w:rPr>
          <w:rFonts w:asciiTheme="minorHAnsi" w:eastAsiaTheme="minorEastAsia" w:hAnsiTheme="minorHAnsi" w:cstheme="minorBidi"/>
          <w:sz w:val="22"/>
          <w:szCs w:val="22"/>
        </w:rPr>
        <w:t>Enyuan</w:t>
      </w:r>
      <w:proofErr w:type="spellEnd"/>
      <w:r w:rsidR="004A1036" w:rsidRPr="00D937CF">
        <w:rPr>
          <w:rFonts w:asciiTheme="minorHAnsi" w:eastAsiaTheme="minorEastAsia" w:hAnsiTheme="minorHAnsi" w:cstheme="minorBidi"/>
          <w:sz w:val="22"/>
          <w:szCs w:val="22"/>
        </w:rPr>
        <w:t xml:space="preserve"> </w:t>
      </w:r>
      <w:r w:rsidRPr="00D937CF">
        <w:rPr>
          <w:rFonts w:asciiTheme="minorHAnsi" w:eastAsiaTheme="minorEastAsia" w:hAnsiTheme="minorHAnsi" w:cstheme="minorBidi"/>
          <w:sz w:val="22"/>
          <w:szCs w:val="22"/>
        </w:rPr>
        <w:t>suggère que cette section comprend en fait deux extraits séparés</w:t>
      </w:r>
      <w:r>
        <w:rPr>
          <w:rFonts w:asciiTheme="minorHAnsi" w:eastAsiaTheme="minorEastAsia" w:hAnsiTheme="minorHAnsi" w:cstheme="minorBidi"/>
          <w:sz w:val="22"/>
          <w:szCs w:val="22"/>
        </w:rPr>
        <w:t xml:space="preserve"> d’écrits dont le premier serait </w:t>
      </w:r>
      <w:r w:rsidR="004961E3">
        <w:rPr>
          <w:rFonts w:asciiTheme="minorHAnsi" w:eastAsiaTheme="minorEastAsia" w:hAnsiTheme="minorHAnsi" w:cstheme="minorBidi"/>
          <w:sz w:val="22"/>
          <w:szCs w:val="22"/>
        </w:rPr>
        <w:t>les « Défauts au g</w:t>
      </w:r>
      <w:r w:rsidR="00CC7FAE">
        <w:rPr>
          <w:rFonts w:asciiTheme="minorHAnsi" w:eastAsiaTheme="minorEastAsia" w:hAnsiTheme="minorHAnsi" w:cstheme="minorBidi"/>
          <w:sz w:val="22"/>
          <w:szCs w:val="22"/>
        </w:rPr>
        <w:t xml:space="preserve">o » </w:t>
      </w:r>
      <w:r w:rsidR="00CC7FAE" w:rsidRPr="00CC7FAE">
        <w:rPr>
          <w:rFonts w:asciiTheme="minorHAnsi" w:eastAsiaTheme="minorEastAsia" w:hAnsiTheme="minorHAnsi" w:cstheme="minorBidi"/>
          <w:sz w:val="22"/>
          <w:szCs w:val="22"/>
        </w:rPr>
        <w:t>(</w:t>
      </w:r>
      <w:r w:rsidR="00CC7FAE" w:rsidRPr="004A1036">
        <w:rPr>
          <w:rFonts w:asciiTheme="minorHAnsi" w:eastAsiaTheme="minorEastAsia" w:hAnsiTheme="minorHAnsi" w:cstheme="minorBidi" w:hint="eastAsia"/>
          <w:sz w:val="22"/>
          <w:szCs w:val="22"/>
        </w:rPr>
        <w:t>碁病</w:t>
      </w:r>
      <w:r w:rsidR="00CC7FAE" w:rsidRPr="00CC7FAE">
        <w:rPr>
          <w:rFonts w:asciiTheme="minorHAnsi" w:eastAsiaTheme="minorEastAsia" w:hAnsiTheme="minorHAnsi" w:cstheme="minorBidi"/>
          <w:sz w:val="22"/>
          <w:szCs w:val="22"/>
        </w:rPr>
        <w:t>)</w:t>
      </w:r>
      <w:r w:rsidR="00CC7FAE">
        <w:rPr>
          <w:rFonts w:asciiTheme="minorHAnsi" w:eastAsiaTheme="minorEastAsia" w:hAnsiTheme="minorHAnsi" w:cstheme="minorBidi"/>
          <w:sz w:val="22"/>
          <w:szCs w:val="22"/>
        </w:rPr>
        <w:t xml:space="preserve"> et le second « Techniques au Go » </w:t>
      </w:r>
      <w:r w:rsidR="00CC7FAE" w:rsidRPr="00CC7FAE">
        <w:rPr>
          <w:rFonts w:asciiTheme="minorHAnsi" w:eastAsiaTheme="minorEastAsia" w:hAnsiTheme="minorHAnsi" w:cstheme="minorBidi"/>
          <w:sz w:val="22"/>
          <w:szCs w:val="22"/>
        </w:rPr>
        <w:t>(</w:t>
      </w:r>
      <w:r w:rsidR="00CC7FAE" w:rsidRPr="004A1036">
        <w:rPr>
          <w:rFonts w:asciiTheme="minorHAnsi" w:eastAsiaTheme="minorEastAsia" w:hAnsiTheme="minorHAnsi" w:cstheme="minorBidi" w:hint="eastAsia"/>
          <w:sz w:val="22"/>
          <w:szCs w:val="22"/>
        </w:rPr>
        <w:t>碁法</w:t>
      </w:r>
      <w:r w:rsidR="00CC7FAE">
        <w:rPr>
          <w:rFonts w:asciiTheme="minorHAnsi" w:eastAsiaTheme="minorEastAsia" w:hAnsiTheme="minorHAnsi" w:cstheme="minorBidi"/>
          <w:sz w:val="22"/>
          <w:szCs w:val="22"/>
        </w:rPr>
        <w:t>).</w:t>
      </w:r>
    </w:p>
    <w:p w:rsidR="004961E3" w:rsidRDefault="004961E3" w:rsidP="004A1036">
      <w:pPr>
        <w:pStyle w:val="NormalWeb"/>
        <w:shd w:val="clear" w:color="auto" w:fill="FFFFFF"/>
        <w:spacing w:before="120" w:beforeAutospacing="0" w:after="120" w:afterAutospacing="0"/>
        <w:rPr>
          <w:rFonts w:asciiTheme="minorHAnsi" w:eastAsiaTheme="minorEastAsia" w:hAnsiTheme="minorHAnsi" w:cstheme="minorBidi"/>
          <w:sz w:val="22"/>
          <w:szCs w:val="22"/>
        </w:rPr>
      </w:pPr>
      <w:r>
        <w:rPr>
          <w:rFonts w:asciiTheme="minorHAnsi" w:eastAsiaTheme="minorEastAsia" w:hAnsiTheme="minorHAnsi" w:cstheme="minorBidi"/>
          <w:sz w:val="22"/>
          <w:szCs w:val="22"/>
        </w:rPr>
        <w:t>La partie « Défauts au go » discute trois mauvais défauts lorsque l’on joue au go (rester trop près du bord et des coins, répondre maladroitement aux coups de l’adversaire et permettre que les groupes soit coupés entre eux) et deux type de jeu peu soigneux ( jouer une pierre rapidement sans réfléchir, essayer de sauver un groupe mort) et également deux façons de rester vivant ( sortir dans le centre ; se connecter dans toutes les directions)</w:t>
      </w:r>
      <w:r w:rsidR="00B04A5E">
        <w:rPr>
          <w:rFonts w:asciiTheme="minorHAnsi" w:eastAsiaTheme="minorEastAsia" w:hAnsiTheme="minorHAnsi" w:cstheme="minorBidi"/>
          <w:sz w:val="22"/>
          <w:szCs w:val="22"/>
        </w:rPr>
        <w:t xml:space="preserve"> et deux bonnes habitudes (ne pas être gourmand dans une position faible ; ne pas être timide dans une position forte)</w:t>
      </w:r>
      <w:r>
        <w:rPr>
          <w:rFonts w:asciiTheme="minorHAnsi" w:eastAsiaTheme="minorEastAsia" w:hAnsiTheme="minorHAnsi" w:cstheme="minorBidi"/>
          <w:sz w:val="22"/>
          <w:szCs w:val="22"/>
        </w:rPr>
        <w:t>. Cheng pense que la partie « techniques au go », qui est écrite dans un style différent</w:t>
      </w:r>
      <w:r w:rsidR="00B04A5E">
        <w:rPr>
          <w:rFonts w:asciiTheme="minorHAnsi" w:eastAsiaTheme="minorEastAsia" w:hAnsiTheme="minorHAnsi" w:cstheme="minorBidi"/>
          <w:sz w:val="22"/>
          <w:szCs w:val="22"/>
        </w:rPr>
        <w:t xml:space="preserve"> et qui sont des discussions plus fouillées de la stratégie au go pourrait être un extrait d’un traité de go de l’empereur Wu de Liang </w:t>
      </w:r>
      <w:r w:rsidR="00B04A5E" w:rsidRPr="00B04A5E">
        <w:rPr>
          <w:rFonts w:asciiTheme="minorHAnsi" w:eastAsiaTheme="minorEastAsia" w:hAnsiTheme="minorHAnsi" w:cstheme="minorBidi"/>
          <w:sz w:val="22"/>
          <w:szCs w:val="22"/>
        </w:rPr>
        <w:t>(464–549)</w:t>
      </w:r>
      <w:r w:rsidR="00B04A5E">
        <w:rPr>
          <w:rFonts w:asciiTheme="minorHAnsi" w:eastAsiaTheme="minorEastAsia" w:hAnsiTheme="minorHAnsi" w:cstheme="minorBidi"/>
          <w:sz w:val="22"/>
          <w:szCs w:val="22"/>
        </w:rPr>
        <w:t xml:space="preserve"> dont sont enregistrés plusieurs ouvrages écrits sur le go.</w:t>
      </w:r>
    </w:p>
    <w:p w:rsidR="00B04A5E" w:rsidRPr="00B04A5E" w:rsidRDefault="00B04A5E" w:rsidP="004A1036">
      <w:pPr>
        <w:pStyle w:val="NormalWeb"/>
        <w:shd w:val="clear" w:color="auto" w:fill="FFFFFF"/>
        <w:spacing w:before="120" w:beforeAutospacing="0" w:after="120" w:afterAutospacing="0"/>
        <w:rPr>
          <w:rFonts w:asciiTheme="minorHAnsi" w:eastAsiaTheme="minorEastAsia" w:hAnsiTheme="minorHAnsi" w:cstheme="minorBidi"/>
          <w:sz w:val="22"/>
          <w:szCs w:val="22"/>
        </w:rPr>
      </w:pPr>
      <w:r>
        <w:rPr>
          <w:rFonts w:asciiTheme="minorHAnsi" w:eastAsiaTheme="minorEastAsia" w:hAnsiTheme="minorHAnsi" w:cstheme="minorBidi"/>
          <w:sz w:val="22"/>
          <w:szCs w:val="22"/>
        </w:rPr>
        <w:t>Ensuite, il y a un court texte de 16 lignes, intitulé « commentaire essentiel sur le go »</w:t>
      </w:r>
      <w:r w:rsidRPr="00B04A5E">
        <w:rPr>
          <w:rFonts w:asciiTheme="minorHAnsi" w:eastAsiaTheme="minorEastAsia" w:hAnsiTheme="minorHAnsi" w:cstheme="minorBidi"/>
          <w:sz w:val="22"/>
          <w:szCs w:val="22"/>
        </w:rPr>
        <w:t xml:space="preserve"> </w:t>
      </w:r>
      <w:r w:rsidRPr="00B04A5E">
        <w:rPr>
          <w:rFonts w:asciiTheme="minorHAnsi" w:eastAsiaTheme="minorEastAsia" w:hAnsiTheme="minorHAnsi" w:cstheme="minorBidi"/>
          <w:sz w:val="22"/>
          <w:szCs w:val="22"/>
        </w:rPr>
        <w:t>(</w:t>
      </w:r>
      <w:hyperlink r:id="rId13" w:tooltip="Chinese language" w:history="1">
        <w:r w:rsidRPr="00B04A5E">
          <w:rPr>
            <w:rFonts w:asciiTheme="minorHAnsi" w:eastAsiaTheme="minorEastAsia" w:hAnsiTheme="minorHAnsi" w:cstheme="minorBidi"/>
            <w:sz w:val="22"/>
            <w:szCs w:val="22"/>
          </w:rPr>
          <w:t>Chin</w:t>
        </w:r>
      </w:hyperlink>
      <w:r w:rsidRPr="00B04A5E">
        <w:rPr>
          <w:rFonts w:asciiTheme="minorHAnsi" w:eastAsiaTheme="minorEastAsia" w:hAnsiTheme="minorHAnsi" w:cstheme="minorBidi"/>
          <w:sz w:val="22"/>
          <w:szCs w:val="22"/>
        </w:rPr>
        <w:t>ois</w:t>
      </w:r>
      <w:r w:rsidRPr="00B04A5E">
        <w:rPr>
          <w:rFonts w:asciiTheme="minorHAnsi" w:eastAsiaTheme="minorEastAsia" w:hAnsiTheme="minorHAnsi" w:cstheme="minorBidi"/>
          <w:sz w:val="22"/>
          <w:szCs w:val="22"/>
        </w:rPr>
        <w:t>: </w:t>
      </w:r>
      <w:r w:rsidRPr="004A1036">
        <w:rPr>
          <w:rFonts w:asciiTheme="minorHAnsi" w:eastAsiaTheme="minorEastAsia" w:hAnsiTheme="minorHAnsi" w:cstheme="minorBidi" w:hint="eastAsia"/>
          <w:sz w:val="22"/>
          <w:szCs w:val="22"/>
        </w:rPr>
        <w:t>碁評要略</w:t>
      </w:r>
      <w:r w:rsidRPr="00B04A5E">
        <w:rPr>
          <w:rFonts w:asciiTheme="minorHAnsi" w:eastAsiaTheme="minorEastAsia" w:hAnsiTheme="minorHAnsi" w:cstheme="minorBidi"/>
          <w:sz w:val="22"/>
          <w:szCs w:val="22"/>
        </w:rPr>
        <w:t>; </w:t>
      </w:r>
      <w:hyperlink r:id="rId14" w:tooltip="Pinyin" w:history="1">
        <w:r w:rsidRPr="00B04A5E">
          <w:rPr>
            <w:rFonts w:asciiTheme="minorHAnsi" w:eastAsiaTheme="minorEastAsia" w:hAnsiTheme="minorHAnsi" w:cstheme="minorBidi"/>
            <w:sz w:val="22"/>
            <w:szCs w:val="22"/>
          </w:rPr>
          <w:t>pinyin</w:t>
        </w:r>
      </w:hyperlink>
      <w:r w:rsidRPr="00B04A5E">
        <w:rPr>
          <w:rFonts w:asciiTheme="minorHAnsi" w:eastAsiaTheme="minorEastAsia" w:hAnsiTheme="minorHAnsi" w:cstheme="minorBidi"/>
          <w:sz w:val="22"/>
          <w:szCs w:val="22"/>
        </w:rPr>
        <w:t>: </w:t>
      </w:r>
      <w:proofErr w:type="spellStart"/>
      <w:r w:rsidRPr="00B04A5E">
        <w:rPr>
          <w:rFonts w:asciiTheme="minorHAnsi" w:eastAsiaTheme="minorEastAsia" w:hAnsiTheme="minorHAnsi" w:cstheme="minorBidi"/>
          <w:sz w:val="22"/>
          <w:szCs w:val="22"/>
        </w:rPr>
        <w:t>qípíng</w:t>
      </w:r>
      <w:proofErr w:type="spellEnd"/>
      <w:r w:rsidRPr="00B04A5E">
        <w:rPr>
          <w:rFonts w:asciiTheme="minorHAnsi" w:eastAsiaTheme="minorEastAsia" w:hAnsiTheme="minorHAnsi" w:cstheme="minorBidi"/>
          <w:sz w:val="22"/>
          <w:szCs w:val="22"/>
        </w:rPr>
        <w:t xml:space="preserve"> </w:t>
      </w:r>
      <w:proofErr w:type="spellStart"/>
      <w:r w:rsidRPr="00B04A5E">
        <w:rPr>
          <w:rFonts w:asciiTheme="minorHAnsi" w:eastAsiaTheme="minorEastAsia" w:hAnsiTheme="minorHAnsi" w:cstheme="minorBidi"/>
          <w:sz w:val="22"/>
          <w:szCs w:val="22"/>
        </w:rPr>
        <w:t>yàolüè</w:t>
      </w:r>
      <w:proofErr w:type="spellEnd"/>
      <w:r w:rsidRPr="00B04A5E">
        <w:rPr>
          <w:rFonts w:asciiTheme="minorHAnsi" w:eastAsiaTheme="minorEastAsia" w:hAnsiTheme="minorHAnsi" w:cstheme="minorBidi"/>
          <w:sz w:val="22"/>
          <w:szCs w:val="22"/>
        </w:rPr>
        <w:t>)</w:t>
      </w:r>
      <w:r>
        <w:rPr>
          <w:rFonts w:asciiTheme="minorHAnsi" w:eastAsiaTheme="minorEastAsia" w:hAnsiTheme="minorHAnsi" w:cstheme="minorBidi"/>
          <w:sz w:val="22"/>
          <w:szCs w:val="22"/>
        </w:rPr>
        <w:t>, attribué à l’empereur Wu de Liang, qui donne quelques conseil</w:t>
      </w:r>
      <w:r w:rsidR="00003374">
        <w:rPr>
          <w:rFonts w:asciiTheme="minorHAnsi" w:eastAsiaTheme="minorEastAsia" w:hAnsiTheme="minorHAnsi" w:cstheme="minorBidi"/>
          <w:sz w:val="22"/>
          <w:szCs w:val="22"/>
        </w:rPr>
        <w:t>s</w:t>
      </w:r>
      <w:r>
        <w:rPr>
          <w:rFonts w:asciiTheme="minorHAnsi" w:eastAsiaTheme="minorEastAsia" w:hAnsiTheme="minorHAnsi" w:cstheme="minorBidi"/>
          <w:sz w:val="22"/>
          <w:szCs w:val="22"/>
        </w:rPr>
        <w:t xml:space="preserve"> stratégiques généraux sur la façon de jouer</w:t>
      </w:r>
      <w:r w:rsidR="00003374">
        <w:rPr>
          <w:rFonts w:asciiTheme="minorHAnsi" w:eastAsiaTheme="minorEastAsia" w:hAnsiTheme="minorHAnsi" w:cstheme="minorBidi"/>
          <w:sz w:val="22"/>
          <w:szCs w:val="22"/>
        </w:rPr>
        <w:t>. Bien que les commentaires de l’empereur Wu soient mentionnés dans les bibliographies depuis la dynastie Tang à la dynastie Ming, aucun texte existant n’en est connu et le bref extrait à la fin du manuscrit de Dunhuang est tout ce qui reste de cet ancien traité de go.</w:t>
      </w:r>
    </w:p>
    <w:p w:rsidR="00D54E79" w:rsidRPr="004961E3" w:rsidRDefault="00D54E79">
      <w:pPr>
        <w:rPr>
          <w:rFonts w:ascii="inherit" w:hAnsi="inherit" w:hint="eastAsia"/>
          <w:color w:val="202124"/>
          <w:lang w:val="en-US"/>
        </w:rPr>
      </w:pPr>
    </w:p>
    <w:p w:rsidR="00AC186E" w:rsidRPr="004961E3" w:rsidRDefault="00AC186E">
      <w:proofErr w:type="gramStart"/>
      <w:r w:rsidRPr="004961E3">
        <w:t>Références</w:t>
      </w:r>
      <w:proofErr w:type="gramEnd"/>
      <w:r w:rsidR="00003374">
        <w:t xml:space="preserve"> </w:t>
      </w:r>
      <w:r w:rsidRPr="004961E3">
        <w:t>:</w:t>
      </w:r>
    </w:p>
    <w:p w:rsidR="00AC186E" w:rsidRPr="00003374" w:rsidRDefault="00AD0177" w:rsidP="00003374">
      <w:pPr>
        <w:pStyle w:val="Paragraphedeliste"/>
        <w:numPr>
          <w:ilvl w:val="0"/>
          <w:numId w:val="2"/>
        </w:numPr>
        <w:rPr>
          <w:sz w:val="20"/>
        </w:rPr>
      </w:pPr>
      <w:r w:rsidRPr="00003374">
        <w:rPr>
          <w:sz w:val="20"/>
        </w:rPr>
        <w:t xml:space="preserve">Article en anglais sur le manuel de go de Dunhuang : </w:t>
      </w:r>
      <w:hyperlink r:id="rId15" w:history="1">
        <w:r w:rsidRPr="00003374">
          <w:rPr>
            <w:rStyle w:val="Lienhypertexte"/>
            <w:sz w:val="20"/>
          </w:rPr>
          <w:t>https://en.wikipedia.org/wiki/Dunhuang_Go_Manual</w:t>
        </w:r>
      </w:hyperlink>
    </w:p>
    <w:p w:rsidR="00AD0177" w:rsidRPr="00003374" w:rsidRDefault="00AD0177" w:rsidP="00003374">
      <w:pPr>
        <w:pStyle w:val="Paragraphedeliste"/>
        <w:numPr>
          <w:ilvl w:val="0"/>
          <w:numId w:val="2"/>
        </w:numPr>
        <w:rPr>
          <w:sz w:val="20"/>
        </w:rPr>
      </w:pPr>
      <w:r w:rsidRPr="00003374">
        <w:rPr>
          <w:sz w:val="20"/>
        </w:rPr>
        <w:t>Base de données International Dunhuang Project http://idp.bl.uk/database/oo_scroll_h.a4d?uid=8593470610;bst=1;recnum=10528;index=1;img=1</w:t>
      </w:r>
    </w:p>
    <w:p w:rsidR="00AC186E" w:rsidRPr="00AD0177" w:rsidRDefault="00AC186E"/>
    <w:p w:rsidR="004A1036" w:rsidRPr="00AD0177" w:rsidRDefault="004A1036"/>
    <w:sectPr w:rsidR="004A1036" w:rsidRPr="00AD017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83C" w:rsidRDefault="0026683C" w:rsidP="00A30C92">
      <w:pPr>
        <w:spacing w:after="0" w:line="240" w:lineRule="auto"/>
      </w:pPr>
      <w:r>
        <w:separator/>
      </w:r>
    </w:p>
  </w:endnote>
  <w:endnote w:type="continuationSeparator" w:id="0">
    <w:p w:rsidR="0026683C" w:rsidRDefault="0026683C" w:rsidP="00A30C92">
      <w:pPr>
        <w:spacing w:after="0" w:line="240" w:lineRule="auto"/>
      </w:pPr>
      <w:r>
        <w:continuationSeparator/>
      </w:r>
    </w:p>
  </w:endnote>
  <w:endnote w:id="1">
    <w:p w:rsidR="00B026D9" w:rsidRPr="001862CE" w:rsidRDefault="00B026D9" w:rsidP="00A55FDD">
      <w:pPr>
        <w:pStyle w:val="PrformatHTML"/>
        <w:shd w:val="clear" w:color="auto" w:fill="F8F9FA"/>
      </w:pPr>
      <w:r>
        <w:rPr>
          <w:rStyle w:val="Appeldenotedefin"/>
        </w:rPr>
        <w:endnoteRef/>
      </w:r>
      <w:r>
        <w:t xml:space="preserve"> </w:t>
      </w:r>
      <w:r w:rsidRPr="001862CE">
        <w:rPr>
          <w:rFonts w:ascii="inherit" w:eastAsiaTheme="minorEastAsia" w:hAnsi="inherit" w:cstheme="minorBidi"/>
          <w:color w:val="202124"/>
        </w:rPr>
        <w:t>Le jeu s’appelle weiqi en chinois, le premier caractère du titre est une variante du qi, prononcé go au Japon. Étant donné que la plupart des francophones familiers avec le jeu l'ont étudié avec la terminologie japonaise, par souci de clarté, j'utilise Go au lieu de weiqi et j'essaie d'appliquer les termes japonais appropriés le cas échéant.</w:t>
      </w:r>
    </w:p>
  </w:endnote>
  <w:endnote w:id="2">
    <w:p w:rsidR="00B026D9" w:rsidRPr="001862CE" w:rsidRDefault="00B026D9">
      <w:pPr>
        <w:pStyle w:val="Notedefin"/>
      </w:pPr>
      <w:r w:rsidRPr="001862CE">
        <w:rPr>
          <w:rStyle w:val="Appeldenotedefin"/>
        </w:rPr>
        <w:endnoteRef/>
      </w:r>
      <w:r w:rsidRPr="001862CE">
        <w:t xml:space="preserve"> </w:t>
      </w:r>
      <w:r w:rsidR="001862CE">
        <w:t xml:space="preserve"> </w:t>
      </w:r>
      <w:r w:rsidR="001D2576" w:rsidRPr="001862CE">
        <w:rPr>
          <w:rFonts w:ascii="inherit" w:hAnsi="inherit"/>
          <w:color w:val="202124"/>
        </w:rPr>
        <w:t>Une clé est</w:t>
      </w:r>
      <w:r w:rsidRPr="001862CE">
        <w:rPr>
          <w:rFonts w:ascii="inherit" w:hAnsi="inherit"/>
          <w:color w:val="202124"/>
        </w:rPr>
        <w:t xml:space="preserve"> que les pièces noires ne sont pas appelées «pièces noires» </w:t>
      </w:r>
      <w:r w:rsidRPr="001862CE">
        <w:rPr>
          <w:rFonts w:ascii="MS Mincho" w:eastAsia="MS Mincho" w:hAnsi="MS Mincho" w:cs="MS Mincho" w:hint="eastAsia"/>
          <w:color w:val="202124"/>
        </w:rPr>
        <w:t>黑子</w:t>
      </w:r>
      <w:r w:rsidRPr="001862CE">
        <w:rPr>
          <w:rFonts w:ascii="inherit" w:hAnsi="inherit"/>
          <w:color w:val="202124"/>
        </w:rPr>
        <w:t xml:space="preserve">, mais </w:t>
      </w:r>
      <w:r w:rsidRPr="001862CE">
        <w:rPr>
          <w:rFonts w:ascii="Times New Roman" w:hAnsi="Times New Roman" w:cs="Times New Roman"/>
          <w:color w:val="202124"/>
        </w:rPr>
        <w:t>«</w:t>
      </w:r>
      <w:r w:rsidRPr="001862CE">
        <w:rPr>
          <w:rFonts w:ascii="inherit" w:hAnsi="inherit"/>
          <w:color w:val="202124"/>
        </w:rPr>
        <w:t>pi</w:t>
      </w:r>
      <w:r w:rsidRPr="001862CE">
        <w:rPr>
          <w:rFonts w:ascii="Times New Roman" w:hAnsi="Times New Roman" w:cs="Times New Roman"/>
          <w:color w:val="202124"/>
        </w:rPr>
        <w:t>è</w:t>
      </w:r>
      <w:r w:rsidRPr="001862CE">
        <w:rPr>
          <w:rFonts w:ascii="inherit" w:hAnsi="inherit"/>
          <w:color w:val="202124"/>
        </w:rPr>
        <w:t>ces de corbeau</w:t>
      </w:r>
      <w:r w:rsidRPr="001862CE">
        <w:rPr>
          <w:rFonts w:ascii="Times New Roman" w:hAnsi="Times New Roman" w:cs="Times New Roman"/>
          <w:color w:val="202124"/>
        </w:rPr>
        <w:t>»</w:t>
      </w:r>
      <w:r w:rsidRPr="001862CE">
        <w:rPr>
          <w:rFonts w:ascii="inherit" w:hAnsi="inherit"/>
          <w:color w:val="202124"/>
        </w:rPr>
        <w:t xml:space="preserve"> </w:t>
      </w:r>
      <w:r w:rsidRPr="001862CE">
        <w:rPr>
          <w:rFonts w:ascii="MS Mincho" w:eastAsia="MS Mincho" w:hAnsi="MS Mincho" w:cs="MS Mincho" w:hint="eastAsia"/>
          <w:color w:val="202124"/>
        </w:rPr>
        <w:t>烏</w:t>
      </w:r>
      <w:r w:rsidRPr="001862CE">
        <w:rPr>
          <w:rFonts w:ascii="inherit" w:hAnsi="inherit"/>
          <w:color w:val="202124"/>
        </w:rPr>
        <w:t xml:space="preserve"> </w:t>
      </w:r>
      <w:r w:rsidRPr="001862CE">
        <w:rPr>
          <w:rFonts w:ascii="MS Mincho" w:eastAsia="MS Mincho" w:hAnsi="MS Mincho" w:cs="MS Mincho" w:hint="eastAsia"/>
          <w:color w:val="202124"/>
        </w:rPr>
        <w:t>子</w:t>
      </w:r>
      <w:r w:rsidRPr="001862CE">
        <w:rPr>
          <w:rFonts w:ascii="inherit" w:hAnsi="inherit"/>
          <w:color w:val="202124"/>
        </w:rPr>
        <w:t xml:space="preserve">. Cheng </w:t>
      </w:r>
      <w:proofErr w:type="gramStart"/>
      <w:r w:rsidRPr="001862CE">
        <w:rPr>
          <w:rFonts w:ascii="inherit" w:hAnsi="inherit"/>
          <w:color w:val="202124"/>
        </w:rPr>
        <w:t>a</w:t>
      </w:r>
      <w:proofErr w:type="gramEnd"/>
      <w:r w:rsidRPr="001862CE">
        <w:rPr>
          <w:rFonts w:ascii="inherit" w:hAnsi="inherit"/>
          <w:color w:val="202124"/>
        </w:rPr>
        <w:t xml:space="preserve"> d</w:t>
      </w:r>
      <w:r w:rsidRPr="001862CE">
        <w:rPr>
          <w:rFonts w:ascii="Times New Roman" w:hAnsi="Times New Roman" w:cs="Times New Roman"/>
          <w:color w:val="202124"/>
        </w:rPr>
        <w:t>é</w:t>
      </w:r>
      <w:r w:rsidRPr="001862CE">
        <w:rPr>
          <w:rFonts w:ascii="inherit" w:hAnsi="inherit"/>
          <w:color w:val="202124"/>
        </w:rPr>
        <w:t xml:space="preserve">couvert que </w:t>
      </w:r>
      <w:r w:rsidRPr="001862CE">
        <w:rPr>
          <w:rFonts w:ascii="Times New Roman" w:hAnsi="Times New Roman" w:cs="Times New Roman"/>
          <w:color w:val="202124"/>
        </w:rPr>
        <w:t>«</w:t>
      </w:r>
      <w:r w:rsidRPr="001862CE">
        <w:rPr>
          <w:rFonts w:ascii="inherit" w:hAnsi="inherit"/>
          <w:color w:val="202124"/>
        </w:rPr>
        <w:t>noir</w:t>
      </w:r>
      <w:r w:rsidRPr="001862CE">
        <w:rPr>
          <w:rFonts w:ascii="Times New Roman" w:hAnsi="Times New Roman" w:cs="Times New Roman"/>
          <w:color w:val="202124"/>
        </w:rPr>
        <w:t>»</w:t>
      </w:r>
      <w:r w:rsidRPr="001862CE">
        <w:rPr>
          <w:rFonts w:ascii="inherit" w:hAnsi="inherit"/>
          <w:color w:val="202124"/>
        </w:rPr>
        <w:t xml:space="preserve"> faisait partie du nom d'enfance de l'un des empereurs du Zhou Nord. Traditionnellement, on ne peut pas utiliser un caractère dans un nom d'empereur par respect, et doit donc substituer un autre caractère à ce</w:t>
      </w:r>
      <w:r w:rsidR="001D2576" w:rsidRPr="001862CE">
        <w:rPr>
          <w:rFonts w:ascii="inherit" w:hAnsi="inherit"/>
          <w:color w:val="202124"/>
        </w:rPr>
        <w:t>lui</w:t>
      </w:r>
      <w:r w:rsidRPr="001862CE">
        <w:rPr>
          <w:rFonts w:ascii="inherit" w:hAnsi="inherit"/>
          <w:color w:val="202124"/>
        </w:rPr>
        <w:t xml:space="preserve"> qui doit être évité. Dans le Zhou Nord, «</w:t>
      </w:r>
      <w:r w:rsidR="00767D0C" w:rsidRPr="001862CE">
        <w:rPr>
          <w:rFonts w:ascii="inherit" w:hAnsi="inherit"/>
          <w:color w:val="202124"/>
        </w:rPr>
        <w:t>Rivière noire</w:t>
      </w:r>
      <w:r w:rsidRPr="001862CE">
        <w:rPr>
          <w:rFonts w:ascii="inherit" w:hAnsi="inherit"/>
          <w:color w:val="202124"/>
        </w:rPr>
        <w:t>» et «</w:t>
      </w:r>
      <w:r w:rsidR="00767D0C" w:rsidRPr="001862CE">
        <w:rPr>
          <w:rFonts w:ascii="inherit" w:hAnsi="inherit"/>
          <w:color w:val="202124"/>
        </w:rPr>
        <w:t>Montagne noire</w:t>
      </w:r>
      <w:r w:rsidRPr="001862CE">
        <w:rPr>
          <w:rFonts w:ascii="inherit" w:hAnsi="inherit"/>
          <w:color w:val="202124"/>
        </w:rPr>
        <w:t>» étaient appelés «</w:t>
      </w:r>
      <w:r w:rsidR="00767D0C" w:rsidRPr="001862CE">
        <w:rPr>
          <w:rFonts w:ascii="inherit" w:hAnsi="inherit"/>
          <w:color w:val="202124"/>
        </w:rPr>
        <w:t>Rivière corbeau</w:t>
      </w:r>
      <w:r w:rsidRPr="001862CE">
        <w:rPr>
          <w:rFonts w:ascii="inherit" w:hAnsi="inherit"/>
          <w:color w:val="202124"/>
        </w:rPr>
        <w:t>» et «</w:t>
      </w:r>
      <w:r w:rsidR="00767D0C" w:rsidRPr="001862CE">
        <w:rPr>
          <w:rFonts w:ascii="inherit" w:hAnsi="inherit"/>
          <w:color w:val="202124"/>
        </w:rPr>
        <w:t>Montagne corbeau</w:t>
      </w:r>
      <w:r w:rsidRPr="001862CE">
        <w:rPr>
          <w:rFonts w:ascii="inherit" w:hAnsi="inherit"/>
          <w:color w:val="202124"/>
        </w:rPr>
        <w:t xml:space="preserve">» pour éviter le caractère tabou «noir». Cheng </w:t>
      </w:r>
      <w:proofErr w:type="spellStart"/>
      <w:r w:rsidRPr="001862CE">
        <w:rPr>
          <w:rFonts w:ascii="inherit" w:hAnsi="inherit"/>
          <w:color w:val="202124"/>
        </w:rPr>
        <w:t>Enyuan</w:t>
      </w:r>
      <w:proofErr w:type="spellEnd"/>
      <w:r w:rsidRPr="001862CE">
        <w:rPr>
          <w:rFonts w:ascii="inherit" w:hAnsi="inherit"/>
          <w:color w:val="202124"/>
        </w:rPr>
        <w:t xml:space="preserve">, Dunhuang Qi Jing </w:t>
      </w:r>
      <w:proofErr w:type="spellStart"/>
      <w:r w:rsidRPr="001862CE">
        <w:rPr>
          <w:rFonts w:ascii="inherit" w:hAnsi="inherit"/>
          <w:color w:val="202124"/>
        </w:rPr>
        <w:t>Jian</w:t>
      </w:r>
      <w:proofErr w:type="spellEnd"/>
      <w:r w:rsidRPr="001862CE">
        <w:rPr>
          <w:rFonts w:ascii="inherit" w:hAnsi="inherit"/>
          <w:color w:val="202124"/>
        </w:rPr>
        <w:t xml:space="preserve"> Zheng [Un examen du "Classique de Go" de Dunhuang] Chengdu: Shu </w:t>
      </w:r>
      <w:proofErr w:type="spellStart"/>
      <w:r w:rsidRPr="001862CE">
        <w:rPr>
          <w:rFonts w:ascii="inherit" w:hAnsi="inherit"/>
          <w:color w:val="202124"/>
        </w:rPr>
        <w:t>Rong</w:t>
      </w:r>
      <w:proofErr w:type="spellEnd"/>
      <w:r w:rsidRPr="001862CE">
        <w:rPr>
          <w:rFonts w:ascii="inherit" w:hAnsi="inherit"/>
          <w:color w:val="202124"/>
        </w:rPr>
        <w:t xml:space="preserve"> qi yi chu ban </w:t>
      </w:r>
      <w:proofErr w:type="spellStart"/>
      <w:r w:rsidRPr="001862CE">
        <w:rPr>
          <w:rFonts w:ascii="inherit" w:hAnsi="inherit"/>
          <w:color w:val="202124"/>
        </w:rPr>
        <w:t>she</w:t>
      </w:r>
      <w:proofErr w:type="spellEnd"/>
      <w:r w:rsidRPr="001862CE">
        <w:rPr>
          <w:rFonts w:ascii="inherit" w:hAnsi="inherit"/>
          <w:color w:val="202124"/>
        </w:rPr>
        <w:t xml:space="preserve">: Sichuan sheng </w:t>
      </w:r>
      <w:proofErr w:type="spellStart"/>
      <w:r w:rsidRPr="001862CE">
        <w:rPr>
          <w:rFonts w:ascii="inherit" w:hAnsi="inherit"/>
          <w:color w:val="202124"/>
        </w:rPr>
        <w:t>xin</w:t>
      </w:r>
      <w:proofErr w:type="spellEnd"/>
      <w:r w:rsidRPr="001862CE">
        <w:rPr>
          <w:rFonts w:ascii="inherit" w:hAnsi="inherit"/>
          <w:color w:val="202124"/>
        </w:rPr>
        <w:t xml:space="preserve"> hua </w:t>
      </w:r>
      <w:proofErr w:type="spellStart"/>
      <w:r w:rsidRPr="001862CE">
        <w:rPr>
          <w:rFonts w:ascii="inherit" w:hAnsi="inherit"/>
          <w:color w:val="202124"/>
        </w:rPr>
        <w:t>shu</w:t>
      </w:r>
      <w:proofErr w:type="spellEnd"/>
      <w:r w:rsidRPr="001862CE">
        <w:rPr>
          <w:rFonts w:ascii="inherit" w:hAnsi="inherit"/>
          <w:color w:val="202124"/>
        </w:rPr>
        <w:t xml:space="preserve"> </w:t>
      </w:r>
      <w:proofErr w:type="spellStart"/>
      <w:r w:rsidRPr="001862CE">
        <w:rPr>
          <w:rFonts w:ascii="inherit" w:hAnsi="inherit"/>
          <w:color w:val="202124"/>
        </w:rPr>
        <w:t>dian</w:t>
      </w:r>
      <w:proofErr w:type="spellEnd"/>
      <w:r w:rsidRPr="001862CE">
        <w:rPr>
          <w:rFonts w:ascii="inherit" w:hAnsi="inherit"/>
          <w:color w:val="202124"/>
        </w:rPr>
        <w:t xml:space="preserve"> fa </w:t>
      </w:r>
      <w:proofErr w:type="spellStart"/>
      <w:r w:rsidRPr="001862CE">
        <w:rPr>
          <w:rFonts w:ascii="inherit" w:hAnsi="inherit"/>
          <w:color w:val="202124"/>
        </w:rPr>
        <w:t>xing</w:t>
      </w:r>
      <w:proofErr w:type="spellEnd"/>
      <w:r w:rsidRPr="001862CE">
        <w:rPr>
          <w:rFonts w:ascii="inherit" w:hAnsi="inherit"/>
          <w:color w:val="202124"/>
        </w:rPr>
        <w:t>, 1990), 95</w:t>
      </w:r>
      <w:r w:rsidR="00F42C95" w:rsidRPr="001862CE">
        <w:rPr>
          <w:rFonts w:ascii="inherit" w:hAnsi="inherit"/>
          <w:color w:val="202124"/>
        </w:rPr>
        <w:t xml:space="preserve"> </w:t>
      </w:r>
    </w:p>
  </w:endnote>
  <w:endnote w:id="3">
    <w:p w:rsidR="00CB6985" w:rsidRPr="000F560E" w:rsidRDefault="00B026D9">
      <w:pPr>
        <w:pStyle w:val="Notedefin"/>
        <w:rPr>
          <w:rFonts w:ascii="inherit" w:hAnsi="inherit" w:hint="eastAsia"/>
          <w:color w:val="202124"/>
          <w:lang w:val="en-US"/>
        </w:rPr>
      </w:pPr>
      <w:r w:rsidRPr="001862CE">
        <w:rPr>
          <w:rStyle w:val="Appeldenotedefin"/>
        </w:rPr>
        <w:endnoteRef/>
      </w:r>
      <w:r w:rsidRPr="001862CE">
        <w:rPr>
          <w:lang w:val="en-US"/>
        </w:rPr>
        <w:t xml:space="preserve"> </w:t>
      </w:r>
      <w:proofErr w:type="gramStart"/>
      <w:r w:rsidR="00767D0C" w:rsidRPr="000F560E">
        <w:rPr>
          <w:rFonts w:ascii="inherit" w:hAnsi="inherit"/>
          <w:color w:val="202124"/>
          <w:lang w:val="en-US"/>
        </w:rPr>
        <w:t>Anonymous</w:t>
      </w:r>
      <w:r w:rsidRPr="000F560E">
        <w:rPr>
          <w:rFonts w:ascii="inherit" w:hAnsi="inherit"/>
          <w:color w:val="202124"/>
          <w:lang w:val="en-US"/>
        </w:rPr>
        <w:t>, "</w:t>
      </w:r>
      <w:r w:rsidRPr="001862CE">
        <w:rPr>
          <w:rFonts w:ascii="inherit" w:hAnsi="inherit"/>
          <w:color w:val="202124"/>
        </w:rPr>
        <w:t>敦煌棋經</w:t>
      </w:r>
      <w:r w:rsidRPr="000F560E">
        <w:rPr>
          <w:rFonts w:ascii="inherit" w:hAnsi="inherit"/>
          <w:color w:val="202124"/>
          <w:lang w:val="en-US"/>
        </w:rPr>
        <w:t xml:space="preserve">," CCC </w:t>
      </w:r>
      <w:proofErr w:type="spellStart"/>
      <w:r w:rsidRPr="000F560E">
        <w:rPr>
          <w:rFonts w:ascii="inherit" w:hAnsi="inherit"/>
          <w:color w:val="202124"/>
          <w:lang w:val="en-US"/>
        </w:rPr>
        <w:t>Yenching</w:t>
      </w:r>
      <w:proofErr w:type="spellEnd"/>
      <w:r w:rsidRPr="000F560E">
        <w:rPr>
          <w:rFonts w:ascii="inherit" w:hAnsi="inherit"/>
          <w:color w:val="202124"/>
          <w:lang w:val="en-US"/>
        </w:rPr>
        <w:t xml:space="preserve"> College</w:t>
      </w:r>
      <w:r w:rsidRPr="001862CE">
        <w:rPr>
          <w:rFonts w:ascii="Verdana" w:hAnsi="Verdana"/>
          <w:color w:val="2C2C2E"/>
          <w:shd w:val="clear" w:color="auto" w:fill="F9FBF0"/>
          <w:lang w:val="en-US"/>
        </w:rPr>
        <w:t xml:space="preserve">, </w:t>
      </w:r>
      <w:hyperlink r:id="rId1" w:history="1">
        <w:r w:rsidR="00CB6985" w:rsidRPr="000F560E">
          <w:rPr>
            <w:rFonts w:ascii="inherit" w:hAnsi="inherit"/>
            <w:color w:val="202124"/>
            <w:lang w:val="en-US"/>
          </w:rPr>
          <w:t>http://go.yenching.edu.hk/dh_txt1.htm</w:t>
        </w:r>
      </w:hyperlink>
      <w:r w:rsidRPr="001862CE">
        <w:rPr>
          <w:rFonts w:ascii="Verdana" w:hAnsi="Verdana"/>
          <w:color w:val="2C2C2E"/>
          <w:shd w:val="clear" w:color="auto" w:fill="F9FBF0"/>
          <w:lang w:val="en-US"/>
        </w:rPr>
        <w:t>.</w:t>
      </w:r>
      <w:proofErr w:type="gramEnd"/>
      <w:r w:rsidR="000F560E">
        <w:rPr>
          <w:rFonts w:ascii="Verdana" w:hAnsi="Verdana"/>
          <w:color w:val="2C2C2E"/>
          <w:shd w:val="clear" w:color="auto" w:fill="F9FBF0"/>
          <w:lang w:val="en-US"/>
        </w:rPr>
        <w:t xml:space="preserve"> </w:t>
      </w:r>
      <w:r w:rsidR="000F560E" w:rsidRPr="000F560E">
        <w:rPr>
          <w:rFonts w:ascii="inherit" w:hAnsi="inherit"/>
          <w:color w:val="202124"/>
          <w:lang w:val="en-US"/>
        </w:rPr>
        <w:t>https://web.archive.org/web/20110721092032/http://go.yenching.edu.hk/dh_txt1.htm</w:t>
      </w:r>
    </w:p>
  </w:endnote>
  <w:endnote w:id="4">
    <w:p w:rsidR="008017CF" w:rsidRPr="001862CE" w:rsidRDefault="008017CF" w:rsidP="00A55FDD">
      <w:pPr>
        <w:pStyle w:val="PrformatHTML"/>
        <w:shd w:val="clear" w:color="auto" w:fill="F8F9FA"/>
      </w:pPr>
      <w:r w:rsidRPr="001862CE">
        <w:rPr>
          <w:rStyle w:val="Appeldenotedefin"/>
        </w:rPr>
        <w:endnoteRef/>
      </w:r>
      <w:r w:rsidR="001862CE">
        <w:t xml:space="preserve"> </w:t>
      </w:r>
      <w:r w:rsidRPr="001862CE">
        <w:rPr>
          <w:rFonts w:ascii="inherit" w:eastAsiaTheme="minorEastAsia" w:hAnsi="inherit" w:cstheme="minorBidi"/>
          <w:color w:val="202124"/>
        </w:rPr>
        <w:t xml:space="preserve">Toutes les sources s'accordent à dire qu'il manque du texte. Cheng </w:t>
      </w:r>
      <w:proofErr w:type="spellStart"/>
      <w:r w:rsidRPr="001862CE">
        <w:rPr>
          <w:rFonts w:ascii="inherit" w:eastAsiaTheme="minorEastAsia" w:hAnsi="inherit" w:cstheme="minorBidi"/>
          <w:color w:val="202124"/>
        </w:rPr>
        <w:t>Enyuan</w:t>
      </w:r>
      <w:proofErr w:type="spellEnd"/>
      <w:r w:rsidRPr="001862CE">
        <w:rPr>
          <w:rFonts w:ascii="inherit" w:eastAsiaTheme="minorEastAsia" w:hAnsi="inherit" w:cstheme="minorBidi"/>
          <w:color w:val="202124"/>
        </w:rPr>
        <w:t xml:space="preserve"> suggère que, sur la base de la longueur moyenne des chapitres suivants, ce n'est pas plus de 3 à 5 lignes de texte - environ 45 à 75 caractères. Cheng, 67.</w:t>
      </w:r>
    </w:p>
  </w:endnote>
  <w:endnote w:id="5">
    <w:p w:rsidR="008017CF" w:rsidRPr="001862CE" w:rsidRDefault="008017CF" w:rsidP="00A55FDD">
      <w:pPr>
        <w:pStyle w:val="PrformatHTML"/>
        <w:shd w:val="clear" w:color="auto" w:fill="F8F9FA"/>
      </w:pPr>
      <w:r w:rsidRPr="001862CE">
        <w:rPr>
          <w:rStyle w:val="Appeldenotedefin"/>
        </w:rPr>
        <w:endnoteRef/>
      </w:r>
      <w:r w:rsidRPr="001862CE">
        <w:t xml:space="preserve"> </w:t>
      </w:r>
      <w:r w:rsidR="001862CE">
        <w:rPr>
          <w:rFonts w:ascii="inherit" w:hAnsi="inherit"/>
          <w:color w:val="202124"/>
        </w:rPr>
        <w:t xml:space="preserve"> </w:t>
      </w:r>
      <w:r w:rsidRPr="001862CE">
        <w:rPr>
          <w:rFonts w:ascii="inherit" w:eastAsiaTheme="minorEastAsia" w:hAnsi="inherit" w:cstheme="minorBidi"/>
          <w:color w:val="202124"/>
        </w:rPr>
        <w:t xml:space="preserve">La référence «Ping» semble être </w:t>
      </w:r>
      <w:r w:rsidR="001D2576" w:rsidRPr="001862CE">
        <w:rPr>
          <w:rFonts w:ascii="inherit" w:eastAsiaTheme="minorEastAsia" w:hAnsi="inherit" w:cstheme="minorBidi"/>
          <w:color w:val="202124"/>
        </w:rPr>
        <w:t xml:space="preserve">la figure </w:t>
      </w:r>
      <w:r w:rsidRPr="001862CE">
        <w:rPr>
          <w:rFonts w:ascii="inherit" w:eastAsiaTheme="minorEastAsia" w:hAnsi="inherit" w:cstheme="minorBidi"/>
          <w:color w:val="202124"/>
        </w:rPr>
        <w:t xml:space="preserve">de Chen Ping, </w:t>
      </w:r>
      <w:r w:rsidR="001D2576" w:rsidRPr="001862CE">
        <w:rPr>
          <w:rFonts w:ascii="inherit" w:eastAsiaTheme="minorEastAsia" w:hAnsi="inherit" w:cstheme="minorBidi"/>
          <w:color w:val="202124"/>
        </w:rPr>
        <w:t xml:space="preserve">de </w:t>
      </w:r>
      <w:r w:rsidR="00696A36" w:rsidRPr="001862CE">
        <w:rPr>
          <w:rFonts w:ascii="inherit" w:eastAsiaTheme="minorEastAsia" w:hAnsi="inherit" w:cstheme="minorBidi"/>
          <w:color w:val="202124"/>
        </w:rPr>
        <w:t xml:space="preserve">la fin du </w:t>
      </w:r>
      <w:r w:rsidRPr="001862CE">
        <w:rPr>
          <w:rFonts w:ascii="inherit" w:eastAsiaTheme="minorEastAsia" w:hAnsi="inherit" w:cstheme="minorBidi"/>
          <w:color w:val="202124"/>
        </w:rPr>
        <w:t>Qin-</w:t>
      </w:r>
      <w:proofErr w:type="spellStart"/>
      <w:r w:rsidRPr="001862CE">
        <w:rPr>
          <w:rFonts w:ascii="inherit" w:eastAsiaTheme="minorEastAsia" w:hAnsi="inherit" w:cstheme="minorBidi"/>
          <w:color w:val="202124"/>
        </w:rPr>
        <w:t>Early</w:t>
      </w:r>
      <w:proofErr w:type="spellEnd"/>
      <w:r w:rsidRPr="001862CE">
        <w:rPr>
          <w:rFonts w:ascii="inherit" w:eastAsiaTheme="minorEastAsia" w:hAnsi="inherit" w:cstheme="minorBidi"/>
          <w:color w:val="202124"/>
        </w:rPr>
        <w:t xml:space="preserve"> Han, qui fut l’un des compagnons de Liu Bang dans les guerres pour l’établissement</w:t>
      </w:r>
      <w:r w:rsidR="00A55FDD" w:rsidRPr="001862CE">
        <w:rPr>
          <w:rFonts w:ascii="inherit" w:eastAsiaTheme="minorEastAsia" w:hAnsi="inherit" w:cstheme="minorBidi"/>
          <w:color w:val="202124"/>
        </w:rPr>
        <w:t xml:space="preserve"> de la dynastie Han. Ibid., 68.</w:t>
      </w:r>
    </w:p>
  </w:endnote>
  <w:endnote w:id="6">
    <w:p w:rsidR="008017CF" w:rsidRPr="001862CE" w:rsidRDefault="008017CF" w:rsidP="00A55FDD">
      <w:pPr>
        <w:pStyle w:val="PrformatHTML"/>
        <w:shd w:val="clear" w:color="auto" w:fill="F8F9FA"/>
      </w:pPr>
      <w:r w:rsidRPr="001862CE">
        <w:rPr>
          <w:rStyle w:val="Appeldenotedefin"/>
        </w:rPr>
        <w:endnoteRef/>
      </w:r>
      <w:r w:rsidRPr="001862CE">
        <w:t xml:space="preserve"> </w:t>
      </w:r>
      <w:r w:rsidRPr="001862CE">
        <w:rPr>
          <w:rFonts w:ascii="inherit" w:hAnsi="inherit"/>
          <w:color w:val="202124"/>
        </w:rPr>
        <w:t>Le caractère original n'est pas clair. Cheng suggère qu'il s'agit d'une variante de</w:t>
      </w:r>
      <w:r w:rsidR="00696A36" w:rsidRPr="001862CE">
        <w:rPr>
          <w:rFonts w:ascii="MS Gothic" w:eastAsia="MS Gothic" w:hAnsi="MS Gothic" w:cs="MS Gothic" w:hint="eastAsia"/>
          <w:color w:val="2C2C2E"/>
          <w:shd w:val="clear" w:color="auto" w:fill="D0D5BF"/>
        </w:rPr>
        <w:t>壤</w:t>
      </w:r>
      <w:r w:rsidR="00696A36" w:rsidRPr="001862CE">
        <w:rPr>
          <w:rFonts w:ascii="inherit" w:hAnsi="inherit"/>
          <w:color w:val="202124"/>
        </w:rPr>
        <w:t>dans le Zhou du Nord</w:t>
      </w:r>
      <w:r w:rsidR="00A55FDD" w:rsidRPr="001862CE">
        <w:rPr>
          <w:rFonts w:ascii="inherit" w:hAnsi="inherit"/>
          <w:color w:val="202124"/>
        </w:rPr>
        <w:t>. Ibid., 70.</w:t>
      </w:r>
    </w:p>
  </w:endnote>
  <w:endnote w:id="7">
    <w:p w:rsidR="003F4ACD" w:rsidRPr="00D142FF" w:rsidRDefault="008017CF" w:rsidP="003F4ACD">
      <w:pPr>
        <w:rPr>
          <w:rFonts w:ascii="Verdana" w:hAnsi="Verdana"/>
          <w:color w:val="2C2C2E"/>
          <w:sz w:val="20"/>
          <w:szCs w:val="20"/>
          <w:shd w:val="clear" w:color="auto" w:fill="D0D5BF"/>
        </w:rPr>
      </w:pPr>
      <w:r w:rsidRPr="001862CE">
        <w:rPr>
          <w:rStyle w:val="Appeldenotedefin"/>
        </w:rPr>
        <w:endnoteRef/>
      </w:r>
      <w:r w:rsidRPr="001862CE">
        <w:t xml:space="preserve"> </w:t>
      </w:r>
      <w:r w:rsidR="003F4ACD" w:rsidRPr="00D142FF">
        <w:rPr>
          <w:rFonts w:ascii="inherit" w:hAnsi="inherit"/>
          <w:color w:val="202124"/>
          <w:sz w:val="20"/>
          <w:szCs w:val="20"/>
        </w:rPr>
        <w:t xml:space="preserve">Ici, </w:t>
      </w:r>
      <w:proofErr w:type="spellStart"/>
      <w:r w:rsidR="003F4ACD" w:rsidRPr="00D142FF">
        <w:rPr>
          <w:rFonts w:ascii="inherit" w:hAnsi="inherit"/>
          <w:color w:val="202124"/>
          <w:sz w:val="20"/>
          <w:szCs w:val="20"/>
        </w:rPr>
        <w:t>shi</w:t>
      </w:r>
      <w:proofErr w:type="spellEnd"/>
      <w:r w:rsidR="003F4ACD" w:rsidRPr="00D142FF">
        <w:rPr>
          <w:rFonts w:ascii="inherit" w:hAnsi="inherit"/>
          <w:color w:val="202124"/>
          <w:sz w:val="20"/>
          <w:szCs w:val="20"/>
        </w:rPr>
        <w:t>(</w:t>
      </w:r>
      <w:r w:rsidR="003F4ACD" w:rsidRPr="00D142FF">
        <w:rPr>
          <w:rFonts w:ascii="inherit" w:hAnsi="inherit"/>
          <w:color w:val="202124"/>
          <w:sz w:val="20"/>
          <w:szCs w:val="20"/>
        </w:rPr>
        <w:t>勢</w:t>
      </w:r>
      <w:r w:rsidR="003F4ACD" w:rsidRPr="00D142FF">
        <w:rPr>
          <w:rFonts w:ascii="inherit" w:hAnsi="inherit"/>
          <w:color w:val="202124"/>
          <w:sz w:val="20"/>
          <w:szCs w:val="20"/>
        </w:rPr>
        <w:t xml:space="preserve">) est traduit par “avantage stratégique” selon la traduction proposée par Roger Ames dans l’Art de la guerre de Sun Tsu (New York: </w:t>
      </w:r>
      <w:proofErr w:type="spellStart"/>
      <w:r w:rsidR="003F4ACD" w:rsidRPr="00D142FF">
        <w:rPr>
          <w:rFonts w:ascii="inherit" w:hAnsi="inherit"/>
          <w:color w:val="202124"/>
          <w:sz w:val="20"/>
          <w:szCs w:val="20"/>
        </w:rPr>
        <w:t>Ballantine</w:t>
      </w:r>
      <w:proofErr w:type="spellEnd"/>
      <w:r w:rsidR="003F4ACD" w:rsidRPr="00D142FF">
        <w:rPr>
          <w:rFonts w:ascii="inherit" w:hAnsi="inherit"/>
          <w:color w:val="202124"/>
          <w:sz w:val="20"/>
          <w:szCs w:val="20"/>
        </w:rPr>
        <w:t xml:space="preserve"> Books, 1993). Le terme est cependant à plusieurs sens. Comme Ames l’écrit : « Nous devons nous efforcer de comprendre comment « </w:t>
      </w:r>
      <w:proofErr w:type="spellStart"/>
      <w:r w:rsidR="003F4ACD" w:rsidRPr="00D142FF">
        <w:rPr>
          <w:rFonts w:ascii="inherit" w:hAnsi="inherit"/>
          <w:color w:val="202124"/>
          <w:sz w:val="20"/>
          <w:szCs w:val="20"/>
        </w:rPr>
        <w:t>shih</w:t>
      </w:r>
      <w:proofErr w:type="spellEnd"/>
      <w:r w:rsidR="003F4ACD" w:rsidRPr="00D142FF">
        <w:rPr>
          <w:rFonts w:ascii="inherit" w:hAnsi="inherit"/>
          <w:color w:val="202124"/>
          <w:sz w:val="20"/>
          <w:szCs w:val="20"/>
        </w:rPr>
        <w:t> » combine dans une seule idée un groupe de significations :</w:t>
      </w:r>
    </w:p>
    <w:p w:rsidR="003F4ACD" w:rsidRPr="00D142FF" w:rsidRDefault="003F4ACD" w:rsidP="003F4ACD">
      <w:pPr>
        <w:pStyle w:val="Paragraphedeliste"/>
        <w:numPr>
          <w:ilvl w:val="0"/>
          <w:numId w:val="1"/>
        </w:numPr>
        <w:rPr>
          <w:rFonts w:ascii="inherit" w:hAnsi="inherit" w:hint="eastAsia"/>
          <w:color w:val="202124"/>
          <w:sz w:val="20"/>
          <w:szCs w:val="20"/>
        </w:rPr>
      </w:pPr>
      <w:r w:rsidRPr="00D142FF">
        <w:rPr>
          <w:rFonts w:ascii="inherit" w:hAnsi="inherit"/>
          <w:color w:val="202124"/>
          <w:sz w:val="20"/>
          <w:szCs w:val="20"/>
        </w:rPr>
        <w:t>Aspect, situations, circonstances, conditions</w:t>
      </w:r>
    </w:p>
    <w:p w:rsidR="003F4ACD" w:rsidRPr="00D142FF" w:rsidRDefault="003F4ACD" w:rsidP="003F4ACD">
      <w:pPr>
        <w:pStyle w:val="Paragraphedeliste"/>
        <w:numPr>
          <w:ilvl w:val="0"/>
          <w:numId w:val="1"/>
        </w:numPr>
        <w:rPr>
          <w:rFonts w:ascii="Verdana" w:hAnsi="Verdana"/>
          <w:color w:val="2C2C2E"/>
          <w:sz w:val="20"/>
          <w:szCs w:val="20"/>
          <w:shd w:val="clear" w:color="auto" w:fill="D0D5BF"/>
        </w:rPr>
      </w:pPr>
      <w:r w:rsidRPr="00D142FF">
        <w:rPr>
          <w:rFonts w:ascii="inherit" w:hAnsi="inherit"/>
          <w:color w:val="202124"/>
          <w:sz w:val="20"/>
          <w:szCs w:val="20"/>
        </w:rPr>
        <w:t>Disposition, configuration, forme extérieure</w:t>
      </w:r>
    </w:p>
    <w:p w:rsidR="003F4ACD" w:rsidRPr="00D142FF" w:rsidRDefault="003F4ACD" w:rsidP="003F4ACD">
      <w:pPr>
        <w:pStyle w:val="Paragraphedeliste"/>
        <w:numPr>
          <w:ilvl w:val="0"/>
          <w:numId w:val="1"/>
        </w:numPr>
        <w:rPr>
          <w:rFonts w:ascii="Verdana" w:hAnsi="Verdana"/>
          <w:color w:val="2C2C2E"/>
          <w:sz w:val="20"/>
          <w:szCs w:val="20"/>
          <w:shd w:val="clear" w:color="auto" w:fill="D0D5BF"/>
        </w:rPr>
      </w:pPr>
      <w:r w:rsidRPr="00D142FF">
        <w:rPr>
          <w:rFonts w:ascii="inherit" w:hAnsi="inherit"/>
          <w:color w:val="202124"/>
          <w:sz w:val="20"/>
          <w:szCs w:val="20"/>
        </w:rPr>
        <w:t>Force, influence, initiative, autorité</w:t>
      </w:r>
    </w:p>
    <w:p w:rsidR="003F4ACD" w:rsidRPr="00D142FF" w:rsidRDefault="003F4ACD" w:rsidP="003F4ACD">
      <w:pPr>
        <w:pStyle w:val="Paragraphedeliste"/>
        <w:numPr>
          <w:ilvl w:val="0"/>
          <w:numId w:val="1"/>
        </w:numPr>
        <w:rPr>
          <w:rFonts w:ascii="Verdana" w:hAnsi="Verdana"/>
          <w:color w:val="2C2C2E"/>
          <w:sz w:val="20"/>
          <w:szCs w:val="20"/>
          <w:shd w:val="clear" w:color="auto" w:fill="D0D5BF"/>
        </w:rPr>
      </w:pPr>
      <w:r w:rsidRPr="00D142FF">
        <w:rPr>
          <w:rFonts w:ascii="inherit" w:hAnsi="inherit"/>
          <w:color w:val="202124"/>
          <w:sz w:val="20"/>
          <w:szCs w:val="20"/>
        </w:rPr>
        <w:t>Avantage</w:t>
      </w:r>
      <w:r w:rsidRPr="00D142FF">
        <w:rPr>
          <w:rFonts w:ascii="Verdana" w:hAnsi="Verdana"/>
          <w:color w:val="2C2C2E"/>
          <w:sz w:val="20"/>
          <w:szCs w:val="20"/>
        </w:rPr>
        <w:t xml:space="preserve"> </w:t>
      </w:r>
      <w:r w:rsidRPr="00D142FF">
        <w:rPr>
          <w:rFonts w:ascii="inherit" w:hAnsi="inherit"/>
          <w:color w:val="202124"/>
          <w:sz w:val="20"/>
          <w:szCs w:val="20"/>
        </w:rPr>
        <w:t>stratégique, achat</w:t>
      </w:r>
    </w:p>
    <w:p w:rsidR="003F4ACD" w:rsidRPr="001862CE" w:rsidRDefault="003F4ACD" w:rsidP="003F4ACD">
      <w:pPr>
        <w:pStyle w:val="PrformatHTML"/>
        <w:shd w:val="clear" w:color="auto" w:fill="F8F9FA"/>
      </w:pPr>
      <w:r w:rsidRPr="001862CE">
        <w:rPr>
          <w:rFonts w:ascii="inherit" w:hAnsi="inherit"/>
          <w:color w:val="202124"/>
        </w:rPr>
        <w:t xml:space="preserve">John </w:t>
      </w:r>
      <w:proofErr w:type="spellStart"/>
      <w:r w:rsidRPr="001862CE">
        <w:rPr>
          <w:rFonts w:ascii="inherit" w:hAnsi="inherit"/>
          <w:color w:val="202124"/>
        </w:rPr>
        <w:t>Fairbairn</w:t>
      </w:r>
      <w:proofErr w:type="spellEnd"/>
      <w:r w:rsidRPr="001862CE">
        <w:rPr>
          <w:rFonts w:ascii="inherit" w:hAnsi="inherit"/>
          <w:color w:val="202124"/>
        </w:rPr>
        <w:t xml:space="preserve"> a suggéré</w:t>
      </w:r>
      <w:r>
        <w:rPr>
          <w:rFonts w:ascii="inherit" w:hAnsi="inherit"/>
          <w:color w:val="202124"/>
        </w:rPr>
        <w:t xml:space="preserve"> "forte position</w:t>
      </w:r>
      <w:r w:rsidRPr="001862CE">
        <w:rPr>
          <w:rFonts w:ascii="inherit" w:hAnsi="inherit"/>
          <w:color w:val="202124"/>
        </w:rPr>
        <w:t>"</w:t>
      </w:r>
      <w:r>
        <w:rPr>
          <w:rFonts w:ascii="inherit" w:hAnsi="inherit"/>
          <w:color w:val="202124"/>
        </w:rPr>
        <w:t xml:space="preserve"> </w:t>
      </w:r>
      <w:r w:rsidRPr="001862CE">
        <w:rPr>
          <w:rFonts w:ascii="inherit" w:hAnsi="inherit"/>
          <w:color w:val="202124"/>
        </w:rPr>
        <w:t xml:space="preserve">comme une traduction alternative de ce terme, établissant un lien plus clair avec les formes. </w:t>
      </w:r>
      <w:r>
        <w:rPr>
          <w:rFonts w:ascii="inherit" w:hAnsi="inherit"/>
          <w:color w:val="202124"/>
        </w:rPr>
        <w:t xml:space="preserve">Le point clé est que ce terme indique un avantage temporaire dans une position spécifique à un moment spécifique. L’avantage stratégique peut être augmenté ou perdu alors que la partie avance ; par conséquent le timing est important. </w:t>
      </w:r>
      <w:r w:rsidRPr="001862CE">
        <w:rPr>
          <w:rFonts w:ascii="inherit" w:hAnsi="inherit"/>
          <w:color w:val="202124"/>
        </w:rPr>
        <w:t xml:space="preserve">Dans le chapitre intitulé «Avantage stratégique», Sun </w:t>
      </w:r>
      <w:proofErr w:type="spellStart"/>
      <w:r w:rsidRPr="001862CE">
        <w:rPr>
          <w:rFonts w:ascii="inherit" w:hAnsi="inherit"/>
          <w:color w:val="202124"/>
        </w:rPr>
        <w:t>Tzu</w:t>
      </w:r>
      <w:proofErr w:type="spellEnd"/>
      <w:r w:rsidRPr="001862CE">
        <w:rPr>
          <w:rFonts w:ascii="inherit" w:hAnsi="inherit"/>
          <w:color w:val="202124"/>
        </w:rPr>
        <w:t xml:space="preserve"> a écrit: «Le fait que la vitesse de l'eau en cascade peut envoyer des rochers </w:t>
      </w:r>
      <w:proofErr w:type="gramStart"/>
      <w:r w:rsidRPr="001862CE">
        <w:rPr>
          <w:rFonts w:ascii="inherit" w:hAnsi="inherit"/>
          <w:color w:val="202124"/>
        </w:rPr>
        <w:t>débouler</w:t>
      </w:r>
      <w:proofErr w:type="gramEnd"/>
      <w:r w:rsidRPr="001862CE">
        <w:rPr>
          <w:rFonts w:ascii="inherit" w:hAnsi="inherit"/>
          <w:color w:val="202124"/>
        </w:rPr>
        <w:t xml:space="preserve"> est dû à son avantage stratégique.</w:t>
      </w:r>
      <w:r>
        <w:rPr>
          <w:rFonts w:ascii="inherit" w:hAnsi="inherit"/>
          <w:color w:val="202124"/>
        </w:rPr>
        <w:t xml:space="preserve"> </w:t>
      </w:r>
      <w:r w:rsidRPr="001862CE">
        <w:rPr>
          <w:rFonts w:ascii="inherit" w:hAnsi="inherit"/>
          <w:color w:val="202124"/>
        </w:rPr>
        <w:t>Qu'un oiseau de proie quand il frappe peut écraser sa victime en morceaux est dû à son timing.</w:t>
      </w:r>
      <w:r>
        <w:rPr>
          <w:rFonts w:ascii="inherit" w:hAnsi="inherit"/>
          <w:color w:val="202124"/>
        </w:rPr>
        <w:t xml:space="preserve"> C’est donc dans l’expertise du combat que l’avantage stratégique est canalisé et son timing est précis. L’avantage stratégique est bandé comme une arbalète et le timing consiste à relâcher la détente. ». En commentant ce terme, Wang Xi a écrit que l’avantage stratégique « se réfère aux fluctuations dans l’accumulation d’avantage stratégique. </w:t>
      </w:r>
      <w:r w:rsidRPr="001862CE">
        <w:rPr>
          <w:rFonts w:ascii="inherit" w:hAnsi="inherit"/>
          <w:color w:val="202124"/>
        </w:rPr>
        <w:t>L'expert au combat est capable d'utiliser l'avantage stratégique pour remporter la victoire sa</w:t>
      </w:r>
      <w:r>
        <w:rPr>
          <w:rFonts w:ascii="inherit" w:hAnsi="inherit"/>
          <w:color w:val="202124"/>
        </w:rPr>
        <w:t>ns mettre sa force à l'épreuve.»</w:t>
      </w:r>
      <w:proofErr w:type="gramStart"/>
      <w:r>
        <w:rPr>
          <w:rFonts w:ascii="inherit" w:hAnsi="inherit"/>
          <w:color w:val="202124"/>
        </w:rPr>
        <w:t>(</w:t>
      </w:r>
      <w:r w:rsidRPr="00D142FF">
        <w:rPr>
          <w:rFonts w:ascii="inherit" w:hAnsi="inherit"/>
          <w:color w:val="202124"/>
        </w:rPr>
        <w:t xml:space="preserve"> </w:t>
      </w:r>
      <w:r w:rsidRPr="001862CE">
        <w:rPr>
          <w:rFonts w:ascii="inherit" w:hAnsi="inherit"/>
          <w:color w:val="202124"/>
        </w:rPr>
        <w:t>Sun</w:t>
      </w:r>
      <w:proofErr w:type="gramEnd"/>
      <w:r w:rsidRPr="001862CE">
        <w:rPr>
          <w:rFonts w:ascii="inherit" w:hAnsi="inherit"/>
          <w:color w:val="202124"/>
        </w:rPr>
        <w:t xml:space="preserve"> </w:t>
      </w:r>
      <w:proofErr w:type="spellStart"/>
      <w:r w:rsidRPr="001862CE">
        <w:rPr>
          <w:rFonts w:ascii="inherit" w:hAnsi="inherit"/>
          <w:color w:val="202124"/>
        </w:rPr>
        <w:t>Tzu</w:t>
      </w:r>
      <w:proofErr w:type="spellEnd"/>
      <w:r w:rsidRPr="001862CE">
        <w:rPr>
          <w:rFonts w:ascii="inherit" w:hAnsi="inherit"/>
          <w:color w:val="202124"/>
        </w:rPr>
        <w:t xml:space="preserve">, </w:t>
      </w:r>
      <w:proofErr w:type="spellStart"/>
      <w:r w:rsidRPr="001862CE">
        <w:rPr>
          <w:rFonts w:ascii="inherit" w:hAnsi="inherit"/>
          <w:color w:val="202124"/>
        </w:rPr>
        <w:t>Sunzi</w:t>
      </w:r>
      <w:proofErr w:type="spellEnd"/>
      <w:r w:rsidRPr="001862CE">
        <w:rPr>
          <w:rFonts w:ascii="inherit" w:hAnsi="inherit"/>
          <w:color w:val="202124"/>
        </w:rPr>
        <w:t xml:space="preserve"> </w:t>
      </w:r>
      <w:proofErr w:type="spellStart"/>
      <w:r w:rsidRPr="001862CE">
        <w:rPr>
          <w:rFonts w:ascii="inherit" w:hAnsi="inherit"/>
          <w:color w:val="202124"/>
        </w:rPr>
        <w:t>shijia</w:t>
      </w:r>
      <w:proofErr w:type="spellEnd"/>
      <w:r w:rsidRPr="001862CE">
        <w:rPr>
          <w:rFonts w:ascii="inherit" w:hAnsi="inherit"/>
          <w:color w:val="202124"/>
        </w:rPr>
        <w:t xml:space="preserve"> </w:t>
      </w:r>
      <w:proofErr w:type="spellStart"/>
      <w:r w:rsidRPr="001862CE">
        <w:rPr>
          <w:rFonts w:ascii="inherit" w:hAnsi="inherit"/>
          <w:color w:val="202124"/>
        </w:rPr>
        <w:t>zhu</w:t>
      </w:r>
      <w:proofErr w:type="spellEnd"/>
      <w:r w:rsidRPr="001862CE">
        <w:rPr>
          <w:rFonts w:ascii="inherit" w:hAnsi="inherit"/>
          <w:color w:val="202124"/>
        </w:rPr>
        <w:t xml:space="preserve"> [Commentaires de dix Maîtres sur l’art de la guerre], vol. 6 de Zhu Zi Ji Cheng [Ensemble de commentaires de divers maîtres] (Beijing: </w:t>
      </w:r>
      <w:proofErr w:type="spellStart"/>
      <w:r w:rsidRPr="001862CE">
        <w:rPr>
          <w:rFonts w:ascii="inherit" w:hAnsi="inherit"/>
          <w:color w:val="202124"/>
        </w:rPr>
        <w:t>Zhong</w:t>
      </w:r>
      <w:proofErr w:type="spellEnd"/>
      <w:r w:rsidRPr="001862CE">
        <w:rPr>
          <w:rFonts w:ascii="inherit" w:hAnsi="inherit"/>
          <w:color w:val="202124"/>
        </w:rPr>
        <w:t xml:space="preserve"> hua </w:t>
      </w:r>
      <w:proofErr w:type="spellStart"/>
      <w:r w:rsidRPr="001862CE">
        <w:rPr>
          <w:rFonts w:ascii="inherit" w:hAnsi="inherit"/>
          <w:color w:val="202124"/>
        </w:rPr>
        <w:t>shu</w:t>
      </w:r>
      <w:proofErr w:type="spellEnd"/>
      <w:r w:rsidRPr="001862CE">
        <w:rPr>
          <w:rFonts w:ascii="inherit" w:hAnsi="inherit"/>
          <w:color w:val="202124"/>
        </w:rPr>
        <w:t xml:space="preserve"> </w:t>
      </w:r>
      <w:proofErr w:type="spellStart"/>
      <w:r w:rsidRPr="001862CE">
        <w:rPr>
          <w:rFonts w:ascii="inherit" w:hAnsi="inherit"/>
          <w:color w:val="202124"/>
        </w:rPr>
        <w:t>ju</w:t>
      </w:r>
      <w:proofErr w:type="spellEnd"/>
      <w:r w:rsidRPr="001862CE">
        <w:rPr>
          <w:rFonts w:ascii="inherit" w:hAnsi="inherit"/>
          <w:color w:val="202124"/>
        </w:rPr>
        <w:t xml:space="preserve">: </w:t>
      </w:r>
      <w:proofErr w:type="spellStart"/>
      <w:r w:rsidRPr="001862CE">
        <w:rPr>
          <w:rFonts w:ascii="inherit" w:hAnsi="inherit"/>
          <w:color w:val="202124"/>
        </w:rPr>
        <w:t>Xin</w:t>
      </w:r>
      <w:proofErr w:type="spellEnd"/>
      <w:r w:rsidRPr="001862CE">
        <w:rPr>
          <w:rFonts w:ascii="inherit" w:hAnsi="inherit"/>
          <w:color w:val="202124"/>
        </w:rPr>
        <w:t xml:space="preserve"> hua </w:t>
      </w:r>
      <w:proofErr w:type="spellStart"/>
      <w:r w:rsidRPr="001862CE">
        <w:rPr>
          <w:rFonts w:ascii="inherit" w:hAnsi="inherit"/>
          <w:color w:val="202124"/>
        </w:rPr>
        <w:t>shu</w:t>
      </w:r>
      <w:proofErr w:type="spellEnd"/>
      <w:r w:rsidRPr="001862CE">
        <w:rPr>
          <w:rFonts w:ascii="inherit" w:hAnsi="inherit"/>
          <w:color w:val="202124"/>
        </w:rPr>
        <w:t xml:space="preserve"> </w:t>
      </w:r>
      <w:proofErr w:type="spellStart"/>
      <w:r w:rsidRPr="001862CE">
        <w:rPr>
          <w:rFonts w:ascii="inherit" w:hAnsi="inherit"/>
          <w:color w:val="202124"/>
        </w:rPr>
        <w:t>dian</w:t>
      </w:r>
      <w:proofErr w:type="spellEnd"/>
      <w:r w:rsidRPr="001862CE">
        <w:rPr>
          <w:rFonts w:ascii="inherit" w:hAnsi="inherit"/>
          <w:color w:val="202124"/>
        </w:rPr>
        <w:t xml:space="preserve"> Beijing fa </w:t>
      </w:r>
      <w:proofErr w:type="spellStart"/>
      <w:r w:rsidRPr="001862CE">
        <w:rPr>
          <w:rFonts w:ascii="inherit" w:hAnsi="inherit"/>
          <w:color w:val="202124"/>
        </w:rPr>
        <w:t>xing</w:t>
      </w:r>
      <w:proofErr w:type="spellEnd"/>
      <w:r w:rsidRPr="001862CE">
        <w:rPr>
          <w:rFonts w:ascii="inherit" w:hAnsi="inherit"/>
          <w:color w:val="202124"/>
        </w:rPr>
        <w:t xml:space="preserve"> </w:t>
      </w:r>
      <w:proofErr w:type="spellStart"/>
      <w:r w:rsidRPr="001862CE">
        <w:rPr>
          <w:rFonts w:ascii="inherit" w:hAnsi="inherit"/>
          <w:color w:val="202124"/>
        </w:rPr>
        <w:t>suo</w:t>
      </w:r>
      <w:proofErr w:type="spellEnd"/>
      <w:r w:rsidRPr="001862CE">
        <w:rPr>
          <w:rFonts w:ascii="inherit" w:hAnsi="inherit"/>
          <w:color w:val="202124"/>
        </w:rPr>
        <w:t xml:space="preserve"> fa </w:t>
      </w:r>
      <w:proofErr w:type="spellStart"/>
      <w:r w:rsidRPr="001862CE">
        <w:rPr>
          <w:rFonts w:ascii="inherit" w:hAnsi="inherit"/>
          <w:color w:val="202124"/>
        </w:rPr>
        <w:t>xing</w:t>
      </w:r>
      <w:proofErr w:type="spellEnd"/>
      <w:r w:rsidRPr="001862CE">
        <w:rPr>
          <w:rFonts w:ascii="inherit" w:hAnsi="inherit"/>
          <w:color w:val="202124"/>
        </w:rPr>
        <w:t>, 1954; réimpression, 1990)</w:t>
      </w:r>
      <w:r>
        <w:rPr>
          <w:rFonts w:ascii="inherit" w:hAnsi="inherit"/>
          <w:color w:val="202124"/>
        </w:rPr>
        <w:t xml:space="preserve">.  </w:t>
      </w:r>
      <w:r w:rsidRPr="001862CE">
        <w:rPr>
          <w:rFonts w:ascii="inherit" w:hAnsi="inherit"/>
          <w:color w:val="202124"/>
        </w:rPr>
        <w:t xml:space="preserve">L'avantage stratégique dépend de la constitution de formes appropriées qui resteront vivantes tout en favorisant un nouvel empiètement. Pour souligner peut-être cela, les commentaires sur le Sun </w:t>
      </w:r>
      <w:proofErr w:type="spellStart"/>
      <w:r w:rsidRPr="001862CE">
        <w:rPr>
          <w:rFonts w:ascii="inherit" w:hAnsi="inherit"/>
          <w:color w:val="202124"/>
        </w:rPr>
        <w:t>Tzu</w:t>
      </w:r>
      <w:proofErr w:type="spellEnd"/>
      <w:r w:rsidRPr="001862CE">
        <w:rPr>
          <w:rFonts w:ascii="inherit" w:hAnsi="inherit"/>
          <w:color w:val="202124"/>
        </w:rPr>
        <w:t xml:space="preserve"> notent que le chapitre «Avantage stratégique» suit logiquement le chapitre «Positions stratégiques» (</w:t>
      </w:r>
      <w:r w:rsidRPr="001862CE">
        <w:rPr>
          <w:rFonts w:ascii="MS Mincho" w:eastAsia="MS Mincho" w:hAnsi="MS Mincho" w:cs="MS Mincho" w:hint="eastAsia"/>
          <w:color w:val="202124"/>
        </w:rPr>
        <w:t>形</w:t>
      </w:r>
      <w:r w:rsidRPr="001862CE">
        <w:rPr>
          <w:rFonts w:ascii="inherit" w:hAnsi="inherit"/>
          <w:color w:val="202124"/>
        </w:rPr>
        <w:t>)</w:t>
      </w:r>
    </w:p>
    <w:p w:rsidR="008017CF" w:rsidRPr="001862CE" w:rsidRDefault="008017CF" w:rsidP="00A55FDD">
      <w:pPr>
        <w:pStyle w:val="PrformatHTML"/>
        <w:shd w:val="clear" w:color="auto" w:fill="F8F9FA"/>
      </w:pPr>
    </w:p>
  </w:endnote>
  <w:endnote w:id="8">
    <w:p w:rsidR="00D53D0D" w:rsidRPr="001862CE" w:rsidRDefault="00D53D0D" w:rsidP="00A55FDD">
      <w:pPr>
        <w:pStyle w:val="PrformatHTML"/>
        <w:shd w:val="clear" w:color="auto" w:fill="F8F9FA"/>
        <w:rPr>
          <w:sz w:val="22"/>
          <w:szCs w:val="22"/>
        </w:rPr>
      </w:pPr>
      <w:r w:rsidRPr="001862CE">
        <w:rPr>
          <w:rStyle w:val="Appeldenotedefin"/>
        </w:rPr>
        <w:endnoteRef/>
      </w:r>
      <w:r w:rsidRPr="001862CE">
        <w:t xml:space="preserve"> </w:t>
      </w:r>
      <w:r w:rsidR="00A55FDD" w:rsidRPr="001862CE">
        <w:rPr>
          <w:rFonts w:ascii="inherit" w:hAnsi="inherit"/>
          <w:color w:val="202124"/>
        </w:rPr>
        <w:t>Selon</w:t>
      </w:r>
      <w:r w:rsidRPr="001862CE">
        <w:rPr>
          <w:rFonts w:ascii="inherit" w:hAnsi="inherit"/>
          <w:color w:val="202124"/>
        </w:rPr>
        <w:t xml:space="preserve"> Cheng, </w:t>
      </w:r>
      <w:r w:rsidR="00A55FDD" w:rsidRPr="001862CE">
        <w:rPr>
          <w:rFonts w:ascii="inherit" w:hAnsi="inherit" w:hint="eastAsia"/>
          <w:color w:val="202124"/>
        </w:rPr>
        <w:t>多</w:t>
      </w:r>
      <w:r w:rsidR="00A55FDD" w:rsidRPr="001862CE">
        <w:rPr>
          <w:rFonts w:ascii="inherit" w:hAnsi="inherit"/>
          <w:color w:val="202124"/>
        </w:rPr>
        <w:t xml:space="preserve">  est une </w:t>
      </w:r>
      <w:r w:rsidRPr="001862CE">
        <w:rPr>
          <w:rFonts w:ascii="inherit" w:hAnsi="inherit"/>
          <w:color w:val="202124"/>
        </w:rPr>
        <w:t>erreur d'écriture pour</w:t>
      </w:r>
      <w:r w:rsidR="00EF43B1" w:rsidRPr="001862CE">
        <w:rPr>
          <w:rFonts w:ascii="inherit" w:hAnsi="inherit"/>
          <w:color w:val="202124"/>
        </w:rPr>
        <w:t xml:space="preserve"> </w:t>
      </w:r>
      <w:r w:rsidR="00A55FDD" w:rsidRPr="001862CE">
        <w:rPr>
          <w:rFonts w:ascii="inherit" w:hAnsi="inherit" w:hint="eastAsia"/>
          <w:color w:val="202124"/>
        </w:rPr>
        <w:t>少</w:t>
      </w:r>
      <w:r w:rsidRPr="001862CE">
        <w:rPr>
          <w:rFonts w:ascii="inherit" w:hAnsi="inherit"/>
          <w:color w:val="202124"/>
        </w:rPr>
        <w:t xml:space="preserve">, étant donné les phrases </w:t>
      </w:r>
      <w:r w:rsidR="00A55FDD" w:rsidRPr="001862CE">
        <w:rPr>
          <w:rFonts w:ascii="inherit" w:hAnsi="inherit"/>
          <w:color w:val="202124"/>
        </w:rPr>
        <w:t>similaires</w:t>
      </w:r>
      <w:r w:rsidRPr="001862CE">
        <w:rPr>
          <w:rFonts w:ascii="inherit" w:hAnsi="inherit"/>
          <w:color w:val="202124"/>
        </w:rPr>
        <w:t xml:space="preserve"> dans les chapitres suivants et d'autres textes de Go.</w:t>
      </w:r>
      <w:r w:rsidR="001862CE" w:rsidRPr="001862CE">
        <w:rPr>
          <w:rFonts w:ascii="Arial" w:hAnsi="Arial" w:cs="Arial"/>
          <w:color w:val="202122"/>
          <w:sz w:val="26"/>
          <w:szCs w:val="26"/>
          <w:shd w:val="clear" w:color="auto" w:fill="FFFFFF"/>
        </w:rPr>
        <w:t xml:space="preserve"> </w:t>
      </w:r>
      <w:r w:rsidR="001862CE" w:rsidRPr="001862CE">
        <w:rPr>
          <w:rFonts w:ascii="MS Gothic" w:eastAsia="MS Gothic" w:hAnsi="MS Gothic" w:cs="MS Gothic" w:hint="eastAsia"/>
          <w:color w:val="202122"/>
          <w:sz w:val="22"/>
          <w:szCs w:val="22"/>
          <w:shd w:val="clear" w:color="auto" w:fill="FFFFFF"/>
        </w:rPr>
        <w:t>貪則多敗，怯則少功</w:t>
      </w:r>
    </w:p>
  </w:endnote>
  <w:endnote w:id="9">
    <w:p w:rsidR="00D53D0D" w:rsidRPr="001862CE" w:rsidRDefault="00D53D0D" w:rsidP="00A55FDD">
      <w:pPr>
        <w:pStyle w:val="PrformatHTML"/>
        <w:shd w:val="clear" w:color="auto" w:fill="F8F9FA"/>
        <w:rPr>
          <w:rFonts w:ascii="inherit" w:hAnsi="inherit"/>
          <w:color w:val="202124"/>
        </w:rPr>
      </w:pPr>
      <w:r w:rsidRPr="001862CE">
        <w:rPr>
          <w:rStyle w:val="Appeldenotedefin"/>
        </w:rPr>
        <w:endnoteRef/>
      </w:r>
      <w:r w:rsidRPr="001862CE">
        <w:t xml:space="preserve"> </w:t>
      </w:r>
      <w:r w:rsidRPr="001862CE">
        <w:rPr>
          <w:rFonts w:ascii="inherit" w:hAnsi="inherit"/>
          <w:color w:val="202124"/>
        </w:rPr>
        <w:t xml:space="preserve">Cette ligne souligne la </w:t>
      </w:r>
      <w:r w:rsidR="005560C9" w:rsidRPr="001862CE">
        <w:rPr>
          <w:rFonts w:ascii="inherit" w:hAnsi="inherit"/>
          <w:color w:val="202124"/>
        </w:rPr>
        <w:t>divergence</w:t>
      </w:r>
      <w:r w:rsidRPr="001862CE">
        <w:rPr>
          <w:rFonts w:ascii="inherit" w:hAnsi="inherit"/>
          <w:color w:val="202124"/>
        </w:rPr>
        <w:t xml:space="preserve"> entre </w:t>
      </w:r>
      <w:r w:rsidR="005560C9" w:rsidRPr="001862CE">
        <w:rPr>
          <w:rFonts w:ascii="inherit" w:hAnsi="inherit"/>
          <w:color w:val="202124"/>
        </w:rPr>
        <w:t xml:space="preserve">le </w:t>
      </w:r>
      <w:r w:rsidRPr="001862CE">
        <w:rPr>
          <w:rFonts w:ascii="inherit" w:hAnsi="inherit"/>
          <w:color w:val="202124"/>
        </w:rPr>
        <w:t xml:space="preserve">Go et les idéaux confucéens, qui appellent à des actions simples basées sur des principes moraux. Par conséquent, certains confucéens, dont Confucius, considéraient </w:t>
      </w:r>
      <w:r w:rsidR="005560C9" w:rsidRPr="001862CE">
        <w:rPr>
          <w:rFonts w:ascii="inherit" w:hAnsi="inherit"/>
          <w:color w:val="202124"/>
        </w:rPr>
        <w:t xml:space="preserve">le </w:t>
      </w:r>
      <w:r w:rsidRPr="001862CE">
        <w:rPr>
          <w:rFonts w:ascii="inherit" w:hAnsi="inherit"/>
          <w:color w:val="202124"/>
        </w:rPr>
        <w:t>Go comme une perte de temps, ou pire.</w:t>
      </w:r>
    </w:p>
    <w:p w:rsidR="00D53D0D" w:rsidRPr="001862CE" w:rsidRDefault="00D53D0D" w:rsidP="00A55FDD">
      <w:pPr>
        <w:pStyle w:val="Notedefin"/>
      </w:pPr>
    </w:p>
  </w:endnote>
  <w:endnote w:id="10">
    <w:p w:rsidR="00D53D0D" w:rsidRPr="001862CE" w:rsidRDefault="00D53D0D" w:rsidP="00A55FDD">
      <w:pPr>
        <w:pStyle w:val="PrformatHTML"/>
        <w:shd w:val="clear" w:color="auto" w:fill="F8F9FA"/>
        <w:rPr>
          <w:rFonts w:ascii="inherit" w:hAnsi="inherit"/>
          <w:color w:val="202124"/>
        </w:rPr>
      </w:pPr>
      <w:r w:rsidRPr="001862CE">
        <w:rPr>
          <w:rStyle w:val="Appeldenotedefin"/>
        </w:rPr>
        <w:endnoteRef/>
      </w:r>
      <w:r w:rsidRPr="001862CE">
        <w:t xml:space="preserve"> </w:t>
      </w:r>
      <w:r w:rsidRPr="001862CE">
        <w:rPr>
          <w:rFonts w:ascii="inherit" w:hAnsi="inherit"/>
          <w:color w:val="202124"/>
        </w:rPr>
        <w:t xml:space="preserve">En 661 avant JC, le duc </w:t>
      </w:r>
      <w:proofErr w:type="spellStart"/>
      <w:r w:rsidRPr="001862CE">
        <w:rPr>
          <w:rFonts w:ascii="inherit" w:hAnsi="inherit"/>
          <w:color w:val="202124"/>
        </w:rPr>
        <w:t>Xian</w:t>
      </w:r>
      <w:proofErr w:type="spellEnd"/>
      <w:r w:rsidRPr="001862CE">
        <w:rPr>
          <w:rFonts w:ascii="inherit" w:hAnsi="inherit"/>
          <w:color w:val="202124"/>
        </w:rPr>
        <w:t xml:space="preserve"> de Jin a payé le duc de </w:t>
      </w:r>
      <w:proofErr w:type="spellStart"/>
      <w:r w:rsidRPr="001862CE">
        <w:rPr>
          <w:rFonts w:ascii="inherit" w:hAnsi="inherit"/>
          <w:color w:val="202124"/>
        </w:rPr>
        <w:t>Yu</w:t>
      </w:r>
      <w:proofErr w:type="spellEnd"/>
      <w:r w:rsidRPr="001862CE">
        <w:rPr>
          <w:rFonts w:ascii="inherit" w:hAnsi="inherit"/>
          <w:color w:val="202124"/>
        </w:rPr>
        <w:t xml:space="preserve"> pour obtenir la permission d'envoyer l'armée de Jin par </w:t>
      </w:r>
      <w:proofErr w:type="spellStart"/>
      <w:r w:rsidRPr="001862CE">
        <w:rPr>
          <w:rFonts w:ascii="inherit" w:hAnsi="inherit"/>
          <w:color w:val="202124"/>
        </w:rPr>
        <w:t>Yu</w:t>
      </w:r>
      <w:proofErr w:type="spellEnd"/>
      <w:r w:rsidRPr="001862CE">
        <w:rPr>
          <w:rFonts w:ascii="inherit" w:hAnsi="inherit"/>
          <w:color w:val="202124"/>
        </w:rPr>
        <w:t xml:space="preserve"> pour attaquer l'état de Guo, ce qu'il a fait avec succès. En 654 avant JC, le duc </w:t>
      </w:r>
      <w:proofErr w:type="spellStart"/>
      <w:r w:rsidRPr="001862CE">
        <w:rPr>
          <w:rFonts w:ascii="inherit" w:hAnsi="inherit"/>
          <w:color w:val="202124"/>
        </w:rPr>
        <w:t>Xian</w:t>
      </w:r>
      <w:proofErr w:type="spellEnd"/>
      <w:r w:rsidRPr="001862CE">
        <w:rPr>
          <w:rFonts w:ascii="inherit" w:hAnsi="inherit"/>
          <w:color w:val="202124"/>
        </w:rPr>
        <w:t xml:space="preserve"> a de nouveau persuadé le duc de </w:t>
      </w:r>
      <w:proofErr w:type="spellStart"/>
      <w:r w:rsidRPr="001862CE">
        <w:rPr>
          <w:rFonts w:ascii="inherit" w:hAnsi="inherit"/>
          <w:color w:val="202124"/>
        </w:rPr>
        <w:t>Yu</w:t>
      </w:r>
      <w:proofErr w:type="spellEnd"/>
      <w:r w:rsidRPr="001862CE">
        <w:rPr>
          <w:rFonts w:ascii="inherit" w:hAnsi="inherit"/>
          <w:color w:val="202124"/>
        </w:rPr>
        <w:t xml:space="preserve"> de donner à l'armée Jin </w:t>
      </w:r>
      <w:r w:rsidR="00F42C95" w:rsidRPr="001862CE">
        <w:rPr>
          <w:rFonts w:ascii="inherit" w:hAnsi="inherit"/>
          <w:color w:val="202124"/>
        </w:rPr>
        <w:t xml:space="preserve">le droit de </w:t>
      </w:r>
      <w:r w:rsidRPr="001862CE">
        <w:rPr>
          <w:rFonts w:ascii="inherit" w:hAnsi="inherit"/>
          <w:color w:val="202124"/>
        </w:rPr>
        <w:t>passe</w:t>
      </w:r>
      <w:r w:rsidR="00F42C95" w:rsidRPr="001862CE">
        <w:rPr>
          <w:rFonts w:ascii="inherit" w:hAnsi="inherit"/>
          <w:color w:val="202124"/>
        </w:rPr>
        <w:t>r</w:t>
      </w:r>
      <w:r w:rsidRPr="001862CE">
        <w:rPr>
          <w:rFonts w:ascii="inherit" w:hAnsi="inherit"/>
          <w:color w:val="202124"/>
        </w:rPr>
        <w:t xml:space="preserve"> par </w:t>
      </w:r>
      <w:proofErr w:type="spellStart"/>
      <w:r w:rsidRPr="001862CE">
        <w:rPr>
          <w:rFonts w:ascii="inherit" w:hAnsi="inherit"/>
          <w:color w:val="202124"/>
        </w:rPr>
        <w:t>Yu</w:t>
      </w:r>
      <w:proofErr w:type="spellEnd"/>
      <w:r w:rsidRPr="001862CE">
        <w:rPr>
          <w:rFonts w:ascii="inherit" w:hAnsi="inherit"/>
          <w:color w:val="202124"/>
        </w:rPr>
        <w:t xml:space="preserve"> pour attaquer et détruire Guo. Après avoir accompli cela, l'armée Jin est revenue, a occupé </w:t>
      </w:r>
      <w:proofErr w:type="spellStart"/>
      <w:r w:rsidRPr="001862CE">
        <w:rPr>
          <w:rFonts w:ascii="inherit" w:hAnsi="inherit"/>
          <w:color w:val="202124"/>
        </w:rPr>
        <w:t>Yu</w:t>
      </w:r>
      <w:proofErr w:type="spellEnd"/>
      <w:r w:rsidRPr="001862CE">
        <w:rPr>
          <w:rFonts w:ascii="inherit" w:hAnsi="inherit"/>
          <w:color w:val="202124"/>
        </w:rPr>
        <w:t xml:space="preserve"> et l'a annexée. James </w:t>
      </w:r>
      <w:proofErr w:type="spellStart"/>
      <w:r w:rsidRPr="001862CE">
        <w:rPr>
          <w:rFonts w:ascii="inherit" w:hAnsi="inherit"/>
          <w:color w:val="202124"/>
        </w:rPr>
        <w:t>Legge</w:t>
      </w:r>
      <w:proofErr w:type="spellEnd"/>
      <w:r w:rsidRPr="001862CE">
        <w:rPr>
          <w:rFonts w:ascii="inherit" w:hAnsi="inherit"/>
          <w:color w:val="202124"/>
        </w:rPr>
        <w:t xml:space="preserve">, éd. Les </w:t>
      </w:r>
      <w:proofErr w:type="spellStart"/>
      <w:r w:rsidRPr="001862CE">
        <w:rPr>
          <w:rFonts w:ascii="inherit" w:hAnsi="inherit"/>
          <w:color w:val="202124"/>
        </w:rPr>
        <w:t>Ch'un</w:t>
      </w:r>
      <w:proofErr w:type="spellEnd"/>
      <w:r w:rsidRPr="001862CE">
        <w:rPr>
          <w:rFonts w:ascii="inherit" w:hAnsi="inherit"/>
          <w:color w:val="202124"/>
        </w:rPr>
        <w:t xml:space="preserve"> </w:t>
      </w:r>
      <w:proofErr w:type="spellStart"/>
      <w:r w:rsidRPr="001862CE">
        <w:rPr>
          <w:rFonts w:ascii="inherit" w:hAnsi="inherit"/>
          <w:color w:val="202124"/>
        </w:rPr>
        <w:t>Ts'ew</w:t>
      </w:r>
      <w:proofErr w:type="spellEnd"/>
      <w:r w:rsidRPr="001862CE">
        <w:rPr>
          <w:rFonts w:ascii="inherit" w:hAnsi="inherit"/>
          <w:color w:val="202124"/>
        </w:rPr>
        <w:t xml:space="preserve"> avec les </w:t>
      </w:r>
      <w:proofErr w:type="spellStart"/>
      <w:r w:rsidRPr="001862CE">
        <w:rPr>
          <w:rFonts w:ascii="inherit" w:hAnsi="inherit"/>
          <w:color w:val="202124"/>
        </w:rPr>
        <w:t>Tso</w:t>
      </w:r>
      <w:proofErr w:type="spellEnd"/>
      <w:r w:rsidRPr="001862CE">
        <w:rPr>
          <w:rFonts w:ascii="inherit" w:hAnsi="inherit"/>
          <w:color w:val="202124"/>
        </w:rPr>
        <w:t xml:space="preserve"> </w:t>
      </w:r>
      <w:proofErr w:type="spellStart"/>
      <w:r w:rsidRPr="001862CE">
        <w:rPr>
          <w:rFonts w:ascii="inherit" w:hAnsi="inherit"/>
          <w:color w:val="202124"/>
        </w:rPr>
        <w:t>Chuen</w:t>
      </w:r>
      <w:proofErr w:type="spellEnd"/>
      <w:r w:rsidRPr="001862CE">
        <w:rPr>
          <w:rFonts w:ascii="inherit" w:hAnsi="inherit"/>
          <w:color w:val="202124"/>
        </w:rPr>
        <w:t xml:space="preserve"> (Taipei: SMC </w:t>
      </w:r>
      <w:proofErr w:type="spellStart"/>
      <w:r w:rsidRPr="001862CE">
        <w:rPr>
          <w:rFonts w:ascii="inherit" w:hAnsi="inherit"/>
          <w:color w:val="202124"/>
        </w:rPr>
        <w:t>Publishing</w:t>
      </w:r>
      <w:proofErr w:type="spellEnd"/>
      <w:r w:rsidRPr="001862CE">
        <w:rPr>
          <w:rFonts w:ascii="inherit" w:hAnsi="inherit"/>
          <w:color w:val="202124"/>
        </w:rPr>
        <w:t xml:space="preserve"> Inc., 1990), 145-7. L</w:t>
      </w:r>
      <w:r w:rsidR="00F42C95" w:rsidRPr="001862CE">
        <w:rPr>
          <w:rFonts w:ascii="inherit" w:hAnsi="inherit"/>
          <w:color w:val="202124"/>
        </w:rPr>
        <w:t xml:space="preserve">e fait étant que le duc de </w:t>
      </w:r>
      <w:proofErr w:type="spellStart"/>
      <w:r w:rsidR="00F42C95" w:rsidRPr="001862CE">
        <w:rPr>
          <w:rFonts w:ascii="inherit" w:hAnsi="inherit"/>
          <w:color w:val="202124"/>
        </w:rPr>
        <w:t>Yu</w:t>
      </w:r>
      <w:proofErr w:type="spellEnd"/>
      <w:r w:rsidR="00F42C95" w:rsidRPr="001862CE">
        <w:rPr>
          <w:rFonts w:ascii="inherit" w:hAnsi="inherit"/>
          <w:color w:val="202124"/>
        </w:rPr>
        <w:t xml:space="preserve"> n’a pas soupçonné</w:t>
      </w:r>
      <w:r w:rsidRPr="001862CE">
        <w:rPr>
          <w:rFonts w:ascii="inherit" w:hAnsi="inherit"/>
          <w:color w:val="202124"/>
        </w:rPr>
        <w:t xml:space="preserve"> </w:t>
      </w:r>
      <w:r w:rsidR="00F42C95" w:rsidRPr="001862CE">
        <w:rPr>
          <w:rFonts w:ascii="inherit" w:hAnsi="inherit"/>
          <w:color w:val="202124"/>
        </w:rPr>
        <w:t xml:space="preserve">d'arrière-pensée dans la demande de Jin pour </w:t>
      </w:r>
      <w:r w:rsidRPr="001862CE">
        <w:rPr>
          <w:rFonts w:ascii="inherit" w:hAnsi="inherit"/>
          <w:color w:val="202124"/>
        </w:rPr>
        <w:t>obtenir la permiss</w:t>
      </w:r>
      <w:r w:rsidR="00A55FDD" w:rsidRPr="001862CE">
        <w:rPr>
          <w:rFonts w:ascii="inherit" w:hAnsi="inherit"/>
          <w:color w:val="202124"/>
        </w:rPr>
        <w:t xml:space="preserve">ion d'envoyer son armée par </w:t>
      </w:r>
      <w:proofErr w:type="spellStart"/>
      <w:r w:rsidR="00A55FDD" w:rsidRPr="001862CE">
        <w:rPr>
          <w:rFonts w:ascii="inherit" w:hAnsi="inherit"/>
          <w:color w:val="202124"/>
        </w:rPr>
        <w:t>Yu</w:t>
      </w:r>
      <w:proofErr w:type="spellEnd"/>
      <w:r w:rsidR="00A55FDD" w:rsidRPr="001862CE">
        <w:rPr>
          <w:rFonts w:ascii="inherit" w:hAnsi="inherit"/>
          <w:color w:val="202124"/>
        </w:rPr>
        <w:t>.</w:t>
      </w:r>
    </w:p>
    <w:p w:rsidR="00D53D0D" w:rsidRPr="001862CE" w:rsidRDefault="00D53D0D">
      <w:pPr>
        <w:pStyle w:val="Notedefin"/>
      </w:pPr>
    </w:p>
  </w:endnote>
  <w:endnote w:id="11">
    <w:p w:rsidR="00F42C95" w:rsidRPr="001862CE" w:rsidRDefault="00F42C95" w:rsidP="00A55FDD">
      <w:pPr>
        <w:pStyle w:val="PrformatHTML"/>
        <w:shd w:val="clear" w:color="auto" w:fill="F8F9FA"/>
        <w:rPr>
          <w:rFonts w:ascii="inherit" w:hAnsi="inherit"/>
          <w:color w:val="202124"/>
          <w:lang w:val="en-US"/>
        </w:rPr>
      </w:pPr>
      <w:r w:rsidRPr="001862CE">
        <w:rPr>
          <w:rStyle w:val="Appeldenotedefin"/>
        </w:rPr>
        <w:endnoteRef/>
      </w:r>
      <w:r w:rsidRPr="001862CE">
        <w:t xml:space="preserve"> </w:t>
      </w:r>
      <w:r w:rsidRPr="001862CE">
        <w:rPr>
          <w:rFonts w:ascii="inherit" w:hAnsi="inherit"/>
          <w:color w:val="202124"/>
        </w:rPr>
        <w:t xml:space="preserve">       Le manuscrit indique "</w:t>
      </w:r>
      <w:r w:rsidRPr="001862CE">
        <w:rPr>
          <w:rFonts w:ascii="MS Mincho" w:eastAsia="MS Mincho" w:hAnsi="MS Mincho" w:cs="MS Mincho" w:hint="eastAsia"/>
          <w:color w:val="202124"/>
        </w:rPr>
        <w:t>若</w:t>
      </w:r>
      <w:r w:rsidRPr="001862CE">
        <w:rPr>
          <w:rFonts w:ascii="inherit" w:hAnsi="inherit"/>
          <w:color w:val="202124"/>
        </w:rPr>
        <w:t xml:space="preserve"> </w:t>
      </w:r>
      <w:r w:rsidRPr="001862CE">
        <w:rPr>
          <w:rFonts w:ascii="SimSun" w:eastAsia="SimSun" w:hAnsi="SimSun" w:cs="SimSun" w:hint="eastAsia"/>
          <w:color w:val="202124"/>
        </w:rPr>
        <w:t>诸葛</w:t>
      </w:r>
      <w:r w:rsidRPr="001862CE">
        <w:rPr>
          <w:rFonts w:ascii="inherit" w:hAnsi="inherit"/>
          <w:color w:val="202124"/>
        </w:rPr>
        <w:t xml:space="preserve"> </w:t>
      </w:r>
      <w:r w:rsidRPr="001862CE">
        <w:rPr>
          <w:rFonts w:ascii="MS Mincho" w:eastAsia="MS Mincho" w:hAnsi="MS Mincho" w:cs="MS Mincho" w:hint="eastAsia"/>
          <w:color w:val="202124"/>
        </w:rPr>
        <w:t>之</w:t>
      </w:r>
      <w:r w:rsidRPr="001862CE">
        <w:rPr>
          <w:rFonts w:ascii="inherit" w:hAnsi="inherit"/>
          <w:color w:val="202124"/>
        </w:rPr>
        <w:t xml:space="preserve"> </w:t>
      </w:r>
      <w:r w:rsidRPr="001862CE">
        <w:rPr>
          <w:rFonts w:ascii="MS Mincho" w:eastAsia="MS Mincho" w:hAnsi="MS Mincho" w:cs="MS Mincho" w:hint="eastAsia"/>
          <w:color w:val="202124"/>
        </w:rPr>
        <w:t>行</w:t>
      </w:r>
      <w:r w:rsidRPr="001862CE">
        <w:rPr>
          <w:rFonts w:ascii="inherit" w:hAnsi="inherit"/>
          <w:color w:val="202124"/>
        </w:rPr>
        <w:t xml:space="preserve"> </w:t>
      </w:r>
      <w:r w:rsidRPr="001862CE">
        <w:rPr>
          <w:rFonts w:ascii="MS Mincho" w:eastAsia="MS Mincho" w:hAnsi="MS Mincho" w:cs="MS Mincho" w:hint="eastAsia"/>
          <w:color w:val="202124"/>
        </w:rPr>
        <w:t>丘</w:t>
      </w:r>
      <w:r w:rsidRPr="001862CE">
        <w:rPr>
          <w:rFonts w:ascii="inherit" w:hAnsi="inherit"/>
          <w:color w:val="202124"/>
        </w:rPr>
        <w:t>." Beaucoup l</w:t>
      </w:r>
      <w:r w:rsidR="001862CE" w:rsidRPr="001862CE">
        <w:rPr>
          <w:rFonts w:ascii="inherit" w:hAnsi="inherit"/>
          <w:color w:val="202124"/>
        </w:rPr>
        <w:t>isent Qiu comme une variante de</w:t>
      </w:r>
      <w:r w:rsidRPr="001862CE">
        <w:rPr>
          <w:rFonts w:ascii="inherit" w:hAnsi="inherit"/>
          <w:color w:val="202124"/>
        </w:rPr>
        <w:t xml:space="preserve"> soldats, donc "comme l'utilisation de soldats par </w:t>
      </w:r>
      <w:proofErr w:type="spellStart"/>
      <w:r w:rsidRPr="001862CE">
        <w:rPr>
          <w:rFonts w:ascii="inherit" w:hAnsi="inherit"/>
          <w:color w:val="202124"/>
        </w:rPr>
        <w:t>Zhuge</w:t>
      </w:r>
      <w:proofErr w:type="spellEnd"/>
      <w:r w:rsidRPr="001862CE">
        <w:rPr>
          <w:rFonts w:ascii="inherit" w:hAnsi="inherit"/>
          <w:color w:val="202124"/>
        </w:rPr>
        <w:t xml:space="preserve"> [Liang]." Cheng soutient qu'en fait, une signification obscure de Qiu est "vide", et que cela indique l'une des strat</w:t>
      </w:r>
      <w:r w:rsidRPr="001862CE">
        <w:rPr>
          <w:rFonts w:ascii="Times New Roman" w:hAnsi="Times New Roman" w:cs="Times New Roman"/>
          <w:color w:val="202124"/>
        </w:rPr>
        <w:t>é</w:t>
      </w:r>
      <w:r w:rsidRPr="001862CE">
        <w:rPr>
          <w:rFonts w:ascii="inherit" w:hAnsi="inherit"/>
          <w:color w:val="202124"/>
        </w:rPr>
        <w:t xml:space="preserve">gies les plus trompeuses et les plus réussies employées par </w:t>
      </w:r>
      <w:proofErr w:type="spellStart"/>
      <w:r w:rsidRPr="001862CE">
        <w:rPr>
          <w:rFonts w:ascii="inherit" w:hAnsi="inherit"/>
          <w:color w:val="202124"/>
        </w:rPr>
        <w:t>Zhuge</w:t>
      </w:r>
      <w:proofErr w:type="spellEnd"/>
      <w:r w:rsidRPr="001862CE">
        <w:rPr>
          <w:rFonts w:ascii="inherit" w:hAnsi="inherit"/>
          <w:color w:val="202124"/>
        </w:rPr>
        <w:t xml:space="preserve"> Liang dans la Romance des trois royaumes. Cheng </w:t>
      </w:r>
      <w:proofErr w:type="spellStart"/>
      <w:r w:rsidRPr="001862CE">
        <w:rPr>
          <w:rFonts w:ascii="inherit" w:hAnsi="inherit"/>
          <w:color w:val="202124"/>
        </w:rPr>
        <w:t>Enyuan</w:t>
      </w:r>
      <w:proofErr w:type="spellEnd"/>
      <w:r w:rsidRPr="001862CE">
        <w:rPr>
          <w:rFonts w:ascii="inherit" w:hAnsi="inherit"/>
          <w:color w:val="202124"/>
        </w:rPr>
        <w:t xml:space="preserve">, Dunhuang Qi Jing </w:t>
      </w:r>
      <w:proofErr w:type="spellStart"/>
      <w:r w:rsidRPr="001862CE">
        <w:rPr>
          <w:rFonts w:ascii="inherit" w:hAnsi="inherit"/>
          <w:color w:val="202124"/>
        </w:rPr>
        <w:t>Jian</w:t>
      </w:r>
      <w:proofErr w:type="spellEnd"/>
      <w:r w:rsidRPr="001862CE">
        <w:rPr>
          <w:rFonts w:ascii="inherit" w:hAnsi="inherit"/>
          <w:color w:val="202124"/>
        </w:rPr>
        <w:t xml:space="preserve"> Zheng, 79-80. Dans un cas où son armée a</w:t>
      </w:r>
      <w:r w:rsidR="001862CE" w:rsidRPr="001862CE">
        <w:rPr>
          <w:rFonts w:ascii="inherit" w:hAnsi="inherit"/>
          <w:color w:val="202124"/>
        </w:rPr>
        <w:t>vait</w:t>
      </w:r>
      <w:r w:rsidRPr="001862CE">
        <w:rPr>
          <w:rFonts w:ascii="inherit" w:hAnsi="inherit"/>
          <w:color w:val="202124"/>
        </w:rPr>
        <w:t xml:space="preserve"> été mise en déroute, </w:t>
      </w:r>
      <w:proofErr w:type="spellStart"/>
      <w:r w:rsidRPr="001862CE">
        <w:rPr>
          <w:rFonts w:ascii="inherit" w:hAnsi="inherit"/>
          <w:color w:val="202124"/>
        </w:rPr>
        <w:t>Zhuge</w:t>
      </w:r>
      <w:proofErr w:type="spellEnd"/>
      <w:r w:rsidRPr="001862CE">
        <w:rPr>
          <w:rFonts w:ascii="inherit" w:hAnsi="inherit"/>
          <w:color w:val="202124"/>
        </w:rPr>
        <w:t xml:space="preserve"> Liang savait que la</w:t>
      </w:r>
      <w:r w:rsidR="001862CE" w:rsidRPr="001862CE">
        <w:rPr>
          <w:rFonts w:ascii="inherit" w:hAnsi="inherit"/>
          <w:color w:val="202124"/>
        </w:rPr>
        <w:t xml:space="preserve"> ville où il se trouvait ne pourr</w:t>
      </w:r>
      <w:r w:rsidRPr="001862CE">
        <w:rPr>
          <w:rFonts w:ascii="inherit" w:hAnsi="inherit"/>
          <w:color w:val="202124"/>
        </w:rPr>
        <w:t>ait pas repousser une attaque. Il s’assit donc au-dessus de</w:t>
      </w:r>
      <w:r w:rsidR="001862CE" w:rsidRPr="001862CE">
        <w:rPr>
          <w:rFonts w:ascii="inherit" w:hAnsi="inherit"/>
          <w:color w:val="202124"/>
        </w:rPr>
        <w:t xml:space="preserve"> la porte de la ville, jouant de la cithare (</w:t>
      </w:r>
      <w:proofErr w:type="spellStart"/>
      <w:r w:rsidRPr="001862CE">
        <w:rPr>
          <w:rFonts w:ascii="inherit" w:hAnsi="inherit"/>
          <w:color w:val="202124"/>
        </w:rPr>
        <w:t>qin</w:t>
      </w:r>
      <w:proofErr w:type="spellEnd"/>
      <w:r w:rsidR="001862CE" w:rsidRPr="001862CE">
        <w:rPr>
          <w:rFonts w:ascii="inherit" w:hAnsi="inherit"/>
          <w:color w:val="202124"/>
        </w:rPr>
        <w:t>)</w:t>
      </w:r>
      <w:r w:rsidRPr="001862CE">
        <w:rPr>
          <w:rFonts w:ascii="inherit" w:hAnsi="inherit"/>
          <w:color w:val="202124"/>
        </w:rPr>
        <w:t xml:space="preserve">, ouvrit les portes et demanda aux paysans de balayer tranquillement les rues. Quand l’attaque arriva, le général adverse pensa que c’était une ruse de la </w:t>
      </w:r>
      <w:r w:rsidR="001862CE" w:rsidRPr="001862CE">
        <w:rPr>
          <w:rFonts w:ascii="inherit" w:hAnsi="inherit"/>
          <w:color w:val="202124"/>
        </w:rPr>
        <w:t>savamment planifiée par</w:t>
      </w:r>
      <w:r w:rsidRPr="001862CE">
        <w:rPr>
          <w:rFonts w:ascii="inherit" w:hAnsi="inherit"/>
          <w:color w:val="202124"/>
        </w:rPr>
        <w:t xml:space="preserve"> </w:t>
      </w:r>
      <w:proofErr w:type="spellStart"/>
      <w:r w:rsidRPr="001862CE">
        <w:rPr>
          <w:rFonts w:ascii="inherit" w:hAnsi="inherit"/>
          <w:color w:val="202124"/>
        </w:rPr>
        <w:t>Zhuge</w:t>
      </w:r>
      <w:proofErr w:type="spellEnd"/>
      <w:r w:rsidRPr="001862CE">
        <w:rPr>
          <w:rFonts w:ascii="inherit" w:hAnsi="inherit"/>
          <w:color w:val="202124"/>
        </w:rPr>
        <w:t xml:space="preserve"> et se retira. </w:t>
      </w:r>
      <w:proofErr w:type="spellStart"/>
      <w:r w:rsidRPr="001862CE">
        <w:rPr>
          <w:rFonts w:ascii="inherit" w:hAnsi="inherit"/>
          <w:color w:val="202124"/>
          <w:lang w:val="en-US"/>
        </w:rPr>
        <w:t>Voir</w:t>
      </w:r>
      <w:proofErr w:type="spellEnd"/>
      <w:r w:rsidRPr="001862CE">
        <w:rPr>
          <w:rFonts w:ascii="inherit" w:hAnsi="inherit"/>
          <w:color w:val="202124"/>
          <w:lang w:val="en-US"/>
        </w:rPr>
        <w:t xml:space="preserve"> </w:t>
      </w:r>
      <w:proofErr w:type="spellStart"/>
      <w:r w:rsidRPr="001862CE">
        <w:rPr>
          <w:rFonts w:ascii="inherit" w:hAnsi="inherit"/>
          <w:color w:val="202124"/>
          <w:lang w:val="en-US"/>
        </w:rPr>
        <w:t>Guanzhong</w:t>
      </w:r>
      <w:proofErr w:type="spellEnd"/>
      <w:r w:rsidRPr="001862CE">
        <w:rPr>
          <w:rFonts w:ascii="inherit" w:hAnsi="inherit"/>
          <w:color w:val="202124"/>
          <w:lang w:val="en-US"/>
        </w:rPr>
        <w:t xml:space="preserve"> Luo, Three Kingdoms: China's Epic Drama, </w:t>
      </w:r>
      <w:r w:rsidRPr="00003374">
        <w:rPr>
          <w:rFonts w:ascii="inherit" w:hAnsi="inherit"/>
          <w:color w:val="202124"/>
        </w:rPr>
        <w:t>traduction</w:t>
      </w:r>
      <w:r w:rsidRPr="008B7F76">
        <w:rPr>
          <w:rFonts w:ascii="inherit" w:hAnsi="inherit"/>
          <w:color w:val="202124"/>
          <w:lang w:val="en-US"/>
        </w:rPr>
        <w:t xml:space="preserve"> </w:t>
      </w:r>
      <w:r w:rsidRPr="001862CE">
        <w:rPr>
          <w:rFonts w:ascii="inherit" w:hAnsi="inherit"/>
          <w:color w:val="202124"/>
          <w:lang w:val="en-US"/>
        </w:rPr>
        <w:t xml:space="preserve">de Moss Roberts, 1ère </w:t>
      </w:r>
      <w:proofErr w:type="spellStart"/>
      <w:r w:rsidRPr="001862CE">
        <w:rPr>
          <w:rFonts w:ascii="inherit" w:hAnsi="inherit"/>
          <w:color w:val="202124"/>
          <w:lang w:val="en-US"/>
        </w:rPr>
        <w:t>éd</w:t>
      </w:r>
      <w:proofErr w:type="spellEnd"/>
      <w:r w:rsidRPr="001862CE">
        <w:rPr>
          <w:rFonts w:ascii="inherit" w:hAnsi="inherit"/>
          <w:color w:val="202124"/>
          <w:lang w:val="en-US"/>
        </w:rPr>
        <w:t xml:space="preserve">. </w:t>
      </w:r>
      <w:proofErr w:type="gramStart"/>
      <w:r w:rsidRPr="001862CE">
        <w:rPr>
          <w:rFonts w:ascii="inherit" w:hAnsi="inherit"/>
          <w:color w:val="202124"/>
          <w:lang w:val="en-US"/>
        </w:rPr>
        <w:t>(New York:</w:t>
      </w:r>
      <w:r w:rsidR="001862CE" w:rsidRPr="001862CE">
        <w:rPr>
          <w:rFonts w:ascii="inherit" w:hAnsi="inherit"/>
          <w:color w:val="202124"/>
          <w:lang w:val="en-US"/>
        </w:rPr>
        <w:t xml:space="preserve"> Pantheon Books, 1976), 285-89.</w:t>
      </w:r>
      <w:proofErr w:type="gramEnd"/>
    </w:p>
    <w:p w:rsidR="00F42C95" w:rsidRPr="001862CE" w:rsidRDefault="00F42C95" w:rsidP="00A55FDD">
      <w:pPr>
        <w:pStyle w:val="Notedefin"/>
        <w:rPr>
          <w:lang w:val="en-US"/>
        </w:rPr>
      </w:pPr>
    </w:p>
  </w:endnote>
  <w:endnote w:id="12">
    <w:p w:rsidR="00F42C95" w:rsidRPr="001862CE" w:rsidRDefault="00F42C95" w:rsidP="00A55FDD">
      <w:pPr>
        <w:pStyle w:val="PrformatHTML"/>
        <w:shd w:val="clear" w:color="auto" w:fill="F8F9FA"/>
        <w:rPr>
          <w:rFonts w:ascii="inherit" w:hAnsi="inherit"/>
          <w:color w:val="202124"/>
        </w:rPr>
      </w:pPr>
      <w:r w:rsidRPr="001862CE">
        <w:rPr>
          <w:rStyle w:val="Appeldenotedefin"/>
        </w:rPr>
        <w:endnoteRef/>
      </w:r>
      <w:r w:rsidRPr="001862CE">
        <w:t xml:space="preserve"> </w:t>
      </w:r>
      <w:r w:rsidRPr="001862CE">
        <w:rPr>
          <w:rFonts w:ascii="inherit" w:hAnsi="inherit"/>
          <w:color w:val="202124"/>
        </w:rPr>
        <w:t xml:space="preserve">  On ne sait pas si le manuscrit d</w:t>
      </w:r>
      <w:r w:rsidR="00A46A89">
        <w:rPr>
          <w:rFonts w:ascii="inherit" w:hAnsi="inherit"/>
          <w:color w:val="202124"/>
        </w:rPr>
        <w:t>it «encerclement» ou «État»</w:t>
      </w:r>
      <w:r w:rsidRPr="001862CE">
        <w:rPr>
          <w:rFonts w:ascii="inherit" w:hAnsi="inherit"/>
          <w:color w:val="202124"/>
        </w:rPr>
        <w:t>.</w:t>
      </w:r>
    </w:p>
    <w:p w:rsidR="00F42C95" w:rsidRPr="001862CE" w:rsidRDefault="00F42C95">
      <w:pPr>
        <w:pStyle w:val="Notedefin"/>
      </w:pPr>
    </w:p>
  </w:endnote>
  <w:endnote w:id="13">
    <w:p w:rsidR="00F42C95" w:rsidRPr="001862CE" w:rsidRDefault="00F42C95" w:rsidP="00A55FDD">
      <w:pPr>
        <w:pStyle w:val="PrformatHTML"/>
        <w:shd w:val="clear" w:color="auto" w:fill="F8F9FA"/>
        <w:rPr>
          <w:rFonts w:ascii="inherit" w:hAnsi="inherit"/>
          <w:color w:val="202124"/>
        </w:rPr>
      </w:pPr>
      <w:r w:rsidRPr="001862CE">
        <w:rPr>
          <w:rStyle w:val="Appeldenotedefin"/>
        </w:rPr>
        <w:endnoteRef/>
      </w:r>
      <w:r w:rsidRPr="001862CE">
        <w:t xml:space="preserve"> </w:t>
      </w:r>
      <w:r w:rsidRPr="001862CE">
        <w:rPr>
          <w:rFonts w:ascii="inherit" w:hAnsi="inherit"/>
          <w:color w:val="202124"/>
        </w:rPr>
        <w:t xml:space="preserve">  Le deuxième chapitre de cet écrit est consacré à la stratégie de  l’échelle (</w:t>
      </w:r>
      <w:r w:rsidRPr="001862CE">
        <w:rPr>
          <w:rFonts w:ascii="MS Mincho" w:eastAsia="MS Mincho" w:hAnsi="MS Mincho" w:cs="MS Mincho" w:hint="eastAsia"/>
          <w:color w:val="202124"/>
        </w:rPr>
        <w:t>征</w:t>
      </w:r>
      <w:r w:rsidRPr="001862CE">
        <w:rPr>
          <w:rFonts w:ascii="inherit" w:hAnsi="inherit"/>
          <w:color w:val="202124"/>
        </w:rPr>
        <w:t>).</w:t>
      </w:r>
    </w:p>
    <w:p w:rsidR="00F42C95" w:rsidRPr="001862CE" w:rsidRDefault="00F42C95">
      <w:pPr>
        <w:pStyle w:val="Notedefin"/>
      </w:pPr>
    </w:p>
  </w:endnote>
  <w:endnote w:id="14">
    <w:p w:rsidR="00F42C95" w:rsidRPr="001862CE" w:rsidRDefault="00F42C95" w:rsidP="00A55FDD">
      <w:pPr>
        <w:pStyle w:val="PrformatHTML"/>
        <w:shd w:val="clear" w:color="auto" w:fill="F8F9FA"/>
        <w:rPr>
          <w:rFonts w:ascii="inherit" w:hAnsi="inherit"/>
          <w:color w:val="202124"/>
        </w:rPr>
      </w:pPr>
      <w:r w:rsidRPr="001862CE">
        <w:rPr>
          <w:rStyle w:val="Appeldenotedefin"/>
        </w:rPr>
        <w:endnoteRef/>
      </w:r>
      <w:r w:rsidRPr="001862CE">
        <w:t xml:space="preserve"> </w:t>
      </w:r>
      <w:r w:rsidRPr="001862CE">
        <w:rPr>
          <w:rFonts w:ascii="inherit" w:hAnsi="inherit"/>
          <w:color w:val="202124"/>
        </w:rPr>
        <w:t xml:space="preserve">Ici, le </w:t>
      </w:r>
      <w:r w:rsidR="00A46A89">
        <w:rPr>
          <w:rFonts w:ascii="inherit" w:hAnsi="inherit"/>
          <w:color w:val="202124"/>
        </w:rPr>
        <w:t xml:space="preserve">caractère </w:t>
      </w:r>
      <w:r w:rsidRPr="001862CE">
        <w:rPr>
          <w:rFonts w:ascii="inherit" w:hAnsi="inherit"/>
          <w:color w:val="202124"/>
        </w:rPr>
        <w:t xml:space="preserve">chinois </w:t>
      </w:r>
      <w:r w:rsidRPr="001862CE">
        <w:rPr>
          <w:rFonts w:ascii="MS Mincho" w:eastAsia="MS Mincho" w:hAnsi="MS Mincho" w:cs="MS Mincho" w:hint="eastAsia"/>
          <w:color w:val="202124"/>
        </w:rPr>
        <w:t>先</w:t>
      </w:r>
      <w:r w:rsidRPr="001862CE">
        <w:rPr>
          <w:rFonts w:ascii="inherit" w:hAnsi="inherit"/>
          <w:color w:val="202124"/>
        </w:rPr>
        <w:t xml:space="preserve"> est le m</w:t>
      </w:r>
      <w:r w:rsidRPr="001862CE">
        <w:rPr>
          <w:rFonts w:ascii="Times New Roman" w:hAnsi="Times New Roman" w:cs="Times New Roman"/>
          <w:color w:val="202124"/>
        </w:rPr>
        <w:t>ê</w:t>
      </w:r>
      <w:r w:rsidRPr="001862CE">
        <w:rPr>
          <w:rFonts w:ascii="inherit" w:hAnsi="inherit"/>
          <w:color w:val="202124"/>
        </w:rPr>
        <w:t xml:space="preserve">me que le terme japonais Go </w:t>
      </w:r>
      <w:r w:rsidRPr="001862CE">
        <w:rPr>
          <w:rFonts w:ascii="Times New Roman" w:hAnsi="Times New Roman" w:cs="Times New Roman"/>
          <w:color w:val="202124"/>
        </w:rPr>
        <w:t>«</w:t>
      </w:r>
      <w:r w:rsidRPr="001862CE">
        <w:rPr>
          <w:rFonts w:ascii="inherit" w:hAnsi="inherit"/>
          <w:color w:val="202124"/>
        </w:rPr>
        <w:t>sente</w:t>
      </w:r>
      <w:r w:rsidRPr="001862CE">
        <w:rPr>
          <w:rFonts w:ascii="Times New Roman" w:hAnsi="Times New Roman" w:cs="Times New Roman"/>
          <w:color w:val="202124"/>
        </w:rPr>
        <w:t>»</w:t>
      </w:r>
      <w:r w:rsidRPr="001862CE">
        <w:rPr>
          <w:rFonts w:ascii="inherit" w:hAnsi="inherit"/>
          <w:color w:val="202124"/>
        </w:rPr>
        <w:t xml:space="preserve">, qui pourrait </w:t>
      </w:r>
      <w:r w:rsidRPr="001862CE">
        <w:rPr>
          <w:rFonts w:ascii="Times New Roman" w:hAnsi="Times New Roman" w:cs="Times New Roman"/>
          <w:color w:val="202124"/>
        </w:rPr>
        <w:t>ê</w:t>
      </w:r>
      <w:r w:rsidRPr="001862CE">
        <w:rPr>
          <w:rFonts w:ascii="inherit" w:hAnsi="inherit"/>
          <w:color w:val="202124"/>
        </w:rPr>
        <w:t>tre traduit initiative</w:t>
      </w:r>
    </w:p>
    <w:p w:rsidR="00F42C95" w:rsidRDefault="00F42C95" w:rsidP="00A55FDD">
      <w:pPr>
        <w:pStyle w:val="Notedefin"/>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83C" w:rsidRDefault="0026683C" w:rsidP="00A30C92">
      <w:pPr>
        <w:spacing w:after="0" w:line="240" w:lineRule="auto"/>
      </w:pPr>
      <w:r>
        <w:separator/>
      </w:r>
    </w:p>
  </w:footnote>
  <w:footnote w:type="continuationSeparator" w:id="0">
    <w:p w:rsidR="0026683C" w:rsidRDefault="0026683C" w:rsidP="00A30C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1654A0"/>
    <w:multiLevelType w:val="hybridMultilevel"/>
    <w:tmpl w:val="B212F4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C24789A"/>
    <w:multiLevelType w:val="hybridMultilevel"/>
    <w:tmpl w:val="B286345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C92"/>
    <w:rsid w:val="00003374"/>
    <w:rsid w:val="000F560E"/>
    <w:rsid w:val="001862CE"/>
    <w:rsid w:val="001876EA"/>
    <w:rsid w:val="001D2576"/>
    <w:rsid w:val="002300E7"/>
    <w:rsid w:val="0026683C"/>
    <w:rsid w:val="003B7B46"/>
    <w:rsid w:val="003D6604"/>
    <w:rsid w:val="003F4ACD"/>
    <w:rsid w:val="004961E3"/>
    <w:rsid w:val="004A1036"/>
    <w:rsid w:val="005560C9"/>
    <w:rsid w:val="00662AF4"/>
    <w:rsid w:val="006804F8"/>
    <w:rsid w:val="00696A36"/>
    <w:rsid w:val="007364DC"/>
    <w:rsid w:val="00767D0C"/>
    <w:rsid w:val="008017CF"/>
    <w:rsid w:val="00827F6D"/>
    <w:rsid w:val="008B7F76"/>
    <w:rsid w:val="008C5C35"/>
    <w:rsid w:val="00A30C92"/>
    <w:rsid w:val="00A46A89"/>
    <w:rsid w:val="00A55FDD"/>
    <w:rsid w:val="00AC186E"/>
    <w:rsid w:val="00AD0177"/>
    <w:rsid w:val="00B026D9"/>
    <w:rsid w:val="00B04A5E"/>
    <w:rsid w:val="00CB6985"/>
    <w:rsid w:val="00CC7FAE"/>
    <w:rsid w:val="00D03CD1"/>
    <w:rsid w:val="00D142FF"/>
    <w:rsid w:val="00D53D0D"/>
    <w:rsid w:val="00D54E79"/>
    <w:rsid w:val="00D937CF"/>
    <w:rsid w:val="00EF43B1"/>
    <w:rsid w:val="00F42C9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C9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bibit">
    <w:name w:val="bibit"/>
    <w:basedOn w:val="Policepardfaut"/>
    <w:rsid w:val="00A30C92"/>
  </w:style>
  <w:style w:type="paragraph" w:styleId="Notedefin">
    <w:name w:val="endnote text"/>
    <w:basedOn w:val="Normal"/>
    <w:link w:val="NotedefinCar"/>
    <w:uiPriority w:val="99"/>
    <w:semiHidden/>
    <w:unhideWhenUsed/>
    <w:rsid w:val="00A30C92"/>
    <w:pPr>
      <w:spacing w:after="0" w:line="240" w:lineRule="auto"/>
    </w:pPr>
    <w:rPr>
      <w:sz w:val="20"/>
      <w:szCs w:val="20"/>
    </w:rPr>
  </w:style>
  <w:style w:type="character" w:customStyle="1" w:styleId="NotedefinCar">
    <w:name w:val="Note de fin Car"/>
    <w:basedOn w:val="Policepardfaut"/>
    <w:link w:val="Notedefin"/>
    <w:uiPriority w:val="99"/>
    <w:semiHidden/>
    <w:rsid w:val="00A30C92"/>
    <w:rPr>
      <w:sz w:val="20"/>
      <w:szCs w:val="20"/>
    </w:rPr>
  </w:style>
  <w:style w:type="character" w:styleId="Appeldenotedefin">
    <w:name w:val="endnote reference"/>
    <w:basedOn w:val="Policepardfaut"/>
    <w:uiPriority w:val="99"/>
    <w:semiHidden/>
    <w:unhideWhenUsed/>
    <w:rsid w:val="00A30C92"/>
    <w:rPr>
      <w:vertAlign w:val="superscript"/>
    </w:rPr>
  </w:style>
  <w:style w:type="paragraph" w:styleId="PrformatHTML">
    <w:name w:val="HTML Preformatted"/>
    <w:basedOn w:val="Normal"/>
    <w:link w:val="PrformatHTMLCar"/>
    <w:uiPriority w:val="99"/>
    <w:unhideWhenUsed/>
    <w:rsid w:val="00A30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rsid w:val="00A30C92"/>
    <w:rPr>
      <w:rFonts w:ascii="Courier New" w:eastAsia="Times New Roman" w:hAnsi="Courier New" w:cs="Courier New"/>
      <w:sz w:val="20"/>
      <w:szCs w:val="20"/>
    </w:rPr>
  </w:style>
  <w:style w:type="character" w:styleId="Lienhypertexte">
    <w:name w:val="Hyperlink"/>
    <w:basedOn w:val="Policepardfaut"/>
    <w:uiPriority w:val="99"/>
    <w:unhideWhenUsed/>
    <w:rsid w:val="00CB6985"/>
    <w:rPr>
      <w:color w:val="0000FF" w:themeColor="hyperlink"/>
      <w:u w:val="single"/>
    </w:rPr>
  </w:style>
  <w:style w:type="paragraph" w:styleId="Sansinterligne">
    <w:name w:val="No Spacing"/>
    <w:uiPriority w:val="1"/>
    <w:qFormat/>
    <w:rsid w:val="00CB6985"/>
    <w:pPr>
      <w:spacing w:after="0" w:line="240" w:lineRule="auto"/>
    </w:pPr>
  </w:style>
  <w:style w:type="paragraph" w:styleId="NormalWeb">
    <w:name w:val="Normal (Web)"/>
    <w:basedOn w:val="Normal"/>
    <w:uiPriority w:val="99"/>
    <w:semiHidden/>
    <w:unhideWhenUsed/>
    <w:rsid w:val="004A1036"/>
    <w:pPr>
      <w:spacing w:before="100" w:beforeAutospacing="1" w:after="100" w:afterAutospacing="1" w:line="240" w:lineRule="auto"/>
    </w:pPr>
    <w:rPr>
      <w:rFonts w:ascii="Times New Roman" w:eastAsia="Times New Roman" w:hAnsi="Times New Roman" w:cs="Times New Roman"/>
      <w:sz w:val="24"/>
      <w:szCs w:val="24"/>
    </w:rPr>
  </w:style>
  <w:style w:type="paragraph" w:styleId="Paragraphedeliste">
    <w:name w:val="List Paragraph"/>
    <w:basedOn w:val="Normal"/>
    <w:uiPriority w:val="34"/>
    <w:qFormat/>
    <w:rsid w:val="00D54E79"/>
    <w:pPr>
      <w:ind w:left="720"/>
      <w:contextualSpacing/>
    </w:pPr>
  </w:style>
  <w:style w:type="table" w:styleId="Grilledutableau">
    <w:name w:val="Table Grid"/>
    <w:basedOn w:val="TableauNormal"/>
    <w:uiPriority w:val="59"/>
    <w:rsid w:val="00680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C9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bibit">
    <w:name w:val="bibit"/>
    <w:basedOn w:val="Policepardfaut"/>
    <w:rsid w:val="00A30C92"/>
  </w:style>
  <w:style w:type="paragraph" w:styleId="Notedefin">
    <w:name w:val="endnote text"/>
    <w:basedOn w:val="Normal"/>
    <w:link w:val="NotedefinCar"/>
    <w:uiPriority w:val="99"/>
    <w:semiHidden/>
    <w:unhideWhenUsed/>
    <w:rsid w:val="00A30C92"/>
    <w:pPr>
      <w:spacing w:after="0" w:line="240" w:lineRule="auto"/>
    </w:pPr>
    <w:rPr>
      <w:sz w:val="20"/>
      <w:szCs w:val="20"/>
    </w:rPr>
  </w:style>
  <w:style w:type="character" w:customStyle="1" w:styleId="NotedefinCar">
    <w:name w:val="Note de fin Car"/>
    <w:basedOn w:val="Policepardfaut"/>
    <w:link w:val="Notedefin"/>
    <w:uiPriority w:val="99"/>
    <w:semiHidden/>
    <w:rsid w:val="00A30C92"/>
    <w:rPr>
      <w:sz w:val="20"/>
      <w:szCs w:val="20"/>
    </w:rPr>
  </w:style>
  <w:style w:type="character" w:styleId="Appeldenotedefin">
    <w:name w:val="endnote reference"/>
    <w:basedOn w:val="Policepardfaut"/>
    <w:uiPriority w:val="99"/>
    <w:semiHidden/>
    <w:unhideWhenUsed/>
    <w:rsid w:val="00A30C92"/>
    <w:rPr>
      <w:vertAlign w:val="superscript"/>
    </w:rPr>
  </w:style>
  <w:style w:type="paragraph" w:styleId="PrformatHTML">
    <w:name w:val="HTML Preformatted"/>
    <w:basedOn w:val="Normal"/>
    <w:link w:val="PrformatHTMLCar"/>
    <w:uiPriority w:val="99"/>
    <w:unhideWhenUsed/>
    <w:rsid w:val="00A30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rsid w:val="00A30C92"/>
    <w:rPr>
      <w:rFonts w:ascii="Courier New" w:eastAsia="Times New Roman" w:hAnsi="Courier New" w:cs="Courier New"/>
      <w:sz w:val="20"/>
      <w:szCs w:val="20"/>
    </w:rPr>
  </w:style>
  <w:style w:type="character" w:styleId="Lienhypertexte">
    <w:name w:val="Hyperlink"/>
    <w:basedOn w:val="Policepardfaut"/>
    <w:uiPriority w:val="99"/>
    <w:unhideWhenUsed/>
    <w:rsid w:val="00CB6985"/>
    <w:rPr>
      <w:color w:val="0000FF" w:themeColor="hyperlink"/>
      <w:u w:val="single"/>
    </w:rPr>
  </w:style>
  <w:style w:type="paragraph" w:styleId="Sansinterligne">
    <w:name w:val="No Spacing"/>
    <w:uiPriority w:val="1"/>
    <w:qFormat/>
    <w:rsid w:val="00CB6985"/>
    <w:pPr>
      <w:spacing w:after="0" w:line="240" w:lineRule="auto"/>
    </w:pPr>
  </w:style>
  <w:style w:type="paragraph" w:styleId="NormalWeb">
    <w:name w:val="Normal (Web)"/>
    <w:basedOn w:val="Normal"/>
    <w:uiPriority w:val="99"/>
    <w:semiHidden/>
    <w:unhideWhenUsed/>
    <w:rsid w:val="004A1036"/>
    <w:pPr>
      <w:spacing w:before="100" w:beforeAutospacing="1" w:after="100" w:afterAutospacing="1" w:line="240" w:lineRule="auto"/>
    </w:pPr>
    <w:rPr>
      <w:rFonts w:ascii="Times New Roman" w:eastAsia="Times New Roman" w:hAnsi="Times New Roman" w:cs="Times New Roman"/>
      <w:sz w:val="24"/>
      <w:szCs w:val="24"/>
    </w:rPr>
  </w:style>
  <w:style w:type="paragraph" w:styleId="Paragraphedeliste">
    <w:name w:val="List Paragraph"/>
    <w:basedOn w:val="Normal"/>
    <w:uiPriority w:val="34"/>
    <w:qFormat/>
    <w:rsid w:val="00D54E79"/>
    <w:pPr>
      <w:ind w:left="720"/>
      <w:contextualSpacing/>
    </w:pPr>
  </w:style>
  <w:style w:type="table" w:styleId="Grilledutableau">
    <w:name w:val="Table Grid"/>
    <w:basedOn w:val="TableauNormal"/>
    <w:uiPriority w:val="59"/>
    <w:rsid w:val="00680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744612">
      <w:bodyDiv w:val="1"/>
      <w:marLeft w:val="0"/>
      <w:marRight w:val="0"/>
      <w:marTop w:val="0"/>
      <w:marBottom w:val="0"/>
      <w:divBdr>
        <w:top w:val="none" w:sz="0" w:space="0" w:color="auto"/>
        <w:left w:val="none" w:sz="0" w:space="0" w:color="auto"/>
        <w:bottom w:val="none" w:sz="0" w:space="0" w:color="auto"/>
        <w:right w:val="none" w:sz="0" w:space="0" w:color="auto"/>
      </w:divBdr>
    </w:div>
    <w:div w:id="992293914">
      <w:bodyDiv w:val="1"/>
      <w:marLeft w:val="0"/>
      <w:marRight w:val="0"/>
      <w:marTop w:val="0"/>
      <w:marBottom w:val="0"/>
      <w:divBdr>
        <w:top w:val="none" w:sz="0" w:space="0" w:color="auto"/>
        <w:left w:val="none" w:sz="0" w:space="0" w:color="auto"/>
        <w:bottom w:val="none" w:sz="0" w:space="0" w:color="auto"/>
        <w:right w:val="none" w:sz="0" w:space="0" w:color="auto"/>
      </w:divBdr>
    </w:div>
    <w:div w:id="1155881486">
      <w:bodyDiv w:val="1"/>
      <w:marLeft w:val="0"/>
      <w:marRight w:val="0"/>
      <w:marTop w:val="0"/>
      <w:marBottom w:val="0"/>
      <w:divBdr>
        <w:top w:val="none" w:sz="0" w:space="0" w:color="auto"/>
        <w:left w:val="none" w:sz="0" w:space="0" w:color="auto"/>
        <w:bottom w:val="none" w:sz="0" w:space="0" w:color="auto"/>
        <w:right w:val="none" w:sz="0" w:space="0" w:color="auto"/>
      </w:divBdr>
    </w:div>
    <w:div w:id="1564363403">
      <w:bodyDiv w:val="1"/>
      <w:marLeft w:val="0"/>
      <w:marRight w:val="0"/>
      <w:marTop w:val="0"/>
      <w:marBottom w:val="0"/>
      <w:divBdr>
        <w:top w:val="none" w:sz="0" w:space="0" w:color="auto"/>
        <w:left w:val="none" w:sz="0" w:space="0" w:color="auto"/>
        <w:bottom w:val="none" w:sz="0" w:space="0" w:color="auto"/>
        <w:right w:val="none" w:sz="0" w:space="0" w:color="auto"/>
      </w:divBdr>
    </w:div>
    <w:div w:id="1847816496">
      <w:bodyDiv w:val="1"/>
      <w:marLeft w:val="0"/>
      <w:marRight w:val="0"/>
      <w:marTop w:val="0"/>
      <w:marBottom w:val="0"/>
      <w:divBdr>
        <w:top w:val="none" w:sz="0" w:space="0" w:color="auto"/>
        <w:left w:val="none" w:sz="0" w:space="0" w:color="auto"/>
        <w:bottom w:val="none" w:sz="0" w:space="0" w:color="auto"/>
        <w:right w:val="none" w:sz="0" w:space="0" w:color="auto"/>
      </w:divBdr>
    </w:div>
    <w:div w:id="196938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n.wikipedia.org/wiki/Chinese_languag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n.wikipedia.org/wiki/L%C3%BC_Fa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wikipedia.org/wiki/Sun_Ce" TargetMode="External"/><Relationship Id="rId5" Type="http://schemas.openxmlformats.org/officeDocument/2006/relationships/settings" Target="settings.xml"/><Relationship Id="rId15" Type="http://schemas.openxmlformats.org/officeDocument/2006/relationships/hyperlink" Target="https://en.wikipedia.org/wiki/Dunhuang_Go_Manual" TargetMode="External"/><Relationship Id="rId10" Type="http://schemas.openxmlformats.org/officeDocument/2006/relationships/hyperlink" Target="https://en.wikipedia.org/wiki/Pinyin" TargetMode="External"/><Relationship Id="rId4" Type="http://schemas.microsoft.com/office/2007/relationships/stylesWithEffects" Target="stylesWithEffects.xml"/><Relationship Id="rId9" Type="http://schemas.openxmlformats.org/officeDocument/2006/relationships/hyperlink" Target="http://idp.bl.uk/database/institute.a4d?id=24" TargetMode="External"/><Relationship Id="rId14" Type="http://schemas.openxmlformats.org/officeDocument/2006/relationships/hyperlink" Target="https://en.wikipedia.org/wiki/Pinyin"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go.yenching.edu.hk/dh_txt1.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CAB7A-C51B-4E4D-B916-07D7DF8AC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473</TotalTime>
  <Pages>1</Pages>
  <Words>1314</Words>
  <Characters>7230</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dc:creator>
  <cp:lastModifiedBy>jerome</cp:lastModifiedBy>
  <cp:revision>15</cp:revision>
  <dcterms:created xsi:type="dcterms:W3CDTF">2021-02-22T14:10:00Z</dcterms:created>
  <dcterms:modified xsi:type="dcterms:W3CDTF">2021-02-23T20:42:00Z</dcterms:modified>
</cp:coreProperties>
</file>