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83" w:rsidRPr="00E6427F" w:rsidRDefault="00723CF2" w:rsidP="00B65FF6">
      <w:pPr>
        <w:jc w:val="center"/>
        <w:rPr>
          <w:rFonts w:ascii="MS Gothic" w:eastAsia="MS Gothic" w:hAnsi="MS Gothic" w:cs="MS Gothic"/>
          <w:color w:val="2C2C2E"/>
          <w:lang w:val="en-US"/>
        </w:rPr>
      </w:pPr>
      <w:r w:rsidRPr="00E6427F">
        <w:rPr>
          <w:rStyle w:val="bibit"/>
          <w:rFonts w:ascii="Verdana" w:hAnsi="Verdana"/>
          <w:i/>
          <w:iCs/>
          <w:color w:val="2C2C2E"/>
          <w:lang w:val="en-US"/>
        </w:rPr>
        <w:t>The Classic of Go</w:t>
      </w:r>
      <w:r w:rsidRPr="00E6427F">
        <w:rPr>
          <w:rFonts w:ascii="Verdana" w:hAnsi="Verdana"/>
          <w:color w:val="2C2C2E"/>
          <w:lang w:val="en-US"/>
        </w:rPr>
        <w:br/>
      </w:r>
      <w:r w:rsidRPr="00E6427F">
        <w:rPr>
          <w:rFonts w:ascii="Verdana" w:hAnsi="Verdana"/>
          <w:color w:val="2C2C2E"/>
        </w:rPr>
        <w:t>碁</w:t>
      </w:r>
      <w:r w:rsidRPr="00E6427F">
        <w:rPr>
          <w:rFonts w:ascii="MS Gothic" w:eastAsia="MS Gothic" w:hAnsi="MS Gothic" w:cs="MS Gothic" w:hint="eastAsia"/>
          <w:color w:val="2C2C2E"/>
        </w:rPr>
        <w:t>經</w:t>
      </w:r>
    </w:p>
    <w:p w:rsidR="00055968" w:rsidRPr="00E6427F" w:rsidRDefault="00055968">
      <w:pPr>
        <w:rPr>
          <w:rFonts w:ascii="Verdana" w:hAnsi="Verdana"/>
          <w:color w:val="2C2C2E"/>
          <w:lang w:val="en-US"/>
        </w:rPr>
      </w:pPr>
      <w:r w:rsidRPr="00E6427F">
        <w:rPr>
          <w:rFonts w:ascii="Verdana" w:hAnsi="Verdana"/>
          <w:color w:val="2C2C2E"/>
          <w:lang w:val="en-US"/>
        </w:rPr>
        <w:t>The original manuscript of the Classic of Go</w:t>
      </w:r>
      <w:r w:rsidRPr="00E6427F">
        <w:rPr>
          <w:rStyle w:val="Appeldenotedefin"/>
          <w:rFonts w:ascii="Verdana" w:hAnsi="Verdana"/>
          <w:color w:val="2C2C2E"/>
          <w:lang w:val="en-US"/>
        </w:rPr>
        <w:endnoteReference w:id="1"/>
      </w:r>
      <w:r w:rsidRPr="00E6427F">
        <w:rPr>
          <w:rFonts w:ascii="Verdana" w:hAnsi="Verdana"/>
          <w:color w:val="2C2C2E"/>
          <w:lang w:val="en-US"/>
        </w:rPr>
        <w:t xml:space="preserve"> is labeled Or.8210/S.5574 (“S” for Stein) and is thought to be the oldest extant manual devoted to the game of Go. In the 1960s, Cheng </w:t>
      </w:r>
      <w:proofErr w:type="spellStart"/>
      <w:r w:rsidRPr="00E6427F">
        <w:rPr>
          <w:rFonts w:ascii="Verdana" w:hAnsi="Verdana"/>
          <w:color w:val="2C2C2E"/>
          <w:lang w:val="en-US"/>
        </w:rPr>
        <w:t>Enyuan</w:t>
      </w:r>
      <w:proofErr w:type="spellEnd"/>
      <w:r w:rsidRPr="00E6427F">
        <w:rPr>
          <w:rFonts w:ascii="Verdana" w:hAnsi="Verdana"/>
          <w:color w:val="2C2C2E"/>
          <w:lang w:val="en-US"/>
        </w:rPr>
        <w:t xml:space="preserve"> provided a modern simplified Chinese transcription with copious notes. It is his opinion that the manuscript was written in the sixth century A.D., in the state of Northern Zhou, due to the structure of some of the characters and language used</w:t>
      </w:r>
      <w:r w:rsidRPr="00E6427F">
        <w:rPr>
          <w:rStyle w:val="Appeldenotedefin"/>
          <w:rFonts w:ascii="Verdana" w:hAnsi="Verdana"/>
          <w:color w:val="2C2C2E"/>
          <w:lang w:val="en-US"/>
        </w:rPr>
        <w:endnoteReference w:id="2"/>
      </w:r>
    </w:p>
    <w:p w:rsidR="00055968" w:rsidRPr="00E6427F" w:rsidRDefault="00055968" w:rsidP="00055968">
      <w:pPr>
        <w:rPr>
          <w:rFonts w:ascii="Verdana" w:hAnsi="Verdana"/>
          <w:color w:val="2C2C2E"/>
          <w:lang w:val="en-US"/>
        </w:rPr>
      </w:pPr>
      <w:r w:rsidRPr="00E6427F">
        <w:rPr>
          <w:rFonts w:ascii="Verdana" w:hAnsi="Verdana"/>
          <w:color w:val="2C2C2E"/>
          <w:lang w:val="en-US"/>
        </w:rPr>
        <w:t xml:space="preserve">A revised edition of Cheng’s work was published in 1990. A transcription of the manuscript into modern complex Chinese characters is available on the internet site of Hong Kong’s CCC </w:t>
      </w:r>
      <w:proofErr w:type="spellStart"/>
      <w:r w:rsidRPr="00E6427F">
        <w:rPr>
          <w:rFonts w:ascii="Verdana" w:hAnsi="Verdana"/>
          <w:color w:val="2C2C2E"/>
          <w:lang w:val="en-US"/>
        </w:rPr>
        <w:t>Yenjing</w:t>
      </w:r>
      <w:proofErr w:type="spellEnd"/>
      <w:r w:rsidRPr="00E6427F">
        <w:rPr>
          <w:rFonts w:ascii="Verdana" w:hAnsi="Verdana"/>
          <w:color w:val="2C2C2E"/>
          <w:lang w:val="en-US"/>
        </w:rPr>
        <w:t xml:space="preserve"> College Go Club.</w:t>
      </w:r>
      <w:r w:rsidR="00EA18AC" w:rsidRPr="00E6427F">
        <w:rPr>
          <w:rStyle w:val="Appeldenotedefin"/>
          <w:rFonts w:ascii="Verdana" w:hAnsi="Verdana"/>
          <w:color w:val="2C2C2E"/>
          <w:lang w:val="en-US"/>
        </w:rPr>
        <w:t xml:space="preserve"> </w:t>
      </w:r>
      <w:r w:rsidR="00EA18AC" w:rsidRPr="00E6427F">
        <w:rPr>
          <w:rStyle w:val="Appeldenotedefin"/>
          <w:rFonts w:ascii="Verdana" w:hAnsi="Verdana"/>
          <w:color w:val="2C2C2E"/>
          <w:lang w:val="en-US"/>
        </w:rPr>
        <w:endnoteReference w:id="3"/>
      </w:r>
    </w:p>
    <w:p w:rsidR="00055968" w:rsidRPr="00E6427F" w:rsidRDefault="00055968" w:rsidP="00055968">
      <w:pPr>
        <w:rPr>
          <w:rFonts w:ascii="Verdana" w:hAnsi="Verdana"/>
          <w:color w:val="2C2C2E"/>
          <w:lang w:val="en-US"/>
        </w:rPr>
      </w:pPr>
      <w:r w:rsidRPr="00E6427F">
        <w:rPr>
          <w:rFonts w:ascii="Verdana" w:hAnsi="Verdana"/>
          <w:color w:val="2C2C2E"/>
          <w:lang w:val="en-US"/>
        </w:rPr>
        <w:t>I would like to thank John Fairbairn for his close reading and insightful comments on drafts of this translation</w:t>
      </w:r>
    </w:p>
    <w:p w:rsidR="00EA18AC" w:rsidRDefault="00EA18AC" w:rsidP="00055968">
      <w:pPr>
        <w:rPr>
          <w:rFonts w:ascii="Verdana" w:hAnsi="Verdana"/>
          <w:color w:val="2C2C2E"/>
          <w:lang w:val="en-US"/>
        </w:rPr>
      </w:pPr>
      <w:r w:rsidRPr="00E6427F">
        <w:rPr>
          <w:rFonts w:ascii="Verdana" w:hAnsi="Verdana"/>
          <w:color w:val="2C2C2E"/>
          <w:lang w:val="en-US"/>
        </w:rPr>
        <w:t>Robert W Foster [translator</w:t>
      </w:r>
      <w:proofErr w:type="gramStart"/>
      <w:r w:rsidRPr="00E6427F">
        <w:rPr>
          <w:rFonts w:ascii="Verdana" w:hAnsi="Verdana"/>
          <w:color w:val="2C2C2E"/>
          <w:lang w:val="en-US"/>
        </w:rPr>
        <w:t>]</w:t>
      </w:r>
      <w:proofErr w:type="gramEnd"/>
      <w:r w:rsidRPr="00E6427F">
        <w:rPr>
          <w:rFonts w:ascii="Verdana" w:hAnsi="Verdana"/>
          <w:color w:val="2C2C2E"/>
          <w:lang w:val="en-US"/>
        </w:rPr>
        <w:br/>
        <w:t xml:space="preserve">http://idp.bl.uk: International </w:t>
      </w:r>
      <w:proofErr w:type="spellStart"/>
      <w:r w:rsidRPr="00E6427F">
        <w:rPr>
          <w:rFonts w:ascii="Verdana" w:hAnsi="Verdana"/>
          <w:color w:val="2C2C2E"/>
          <w:lang w:val="en-US"/>
        </w:rPr>
        <w:t>Dunhuang</w:t>
      </w:r>
      <w:proofErr w:type="spellEnd"/>
      <w:r w:rsidRPr="00E6427F">
        <w:rPr>
          <w:rFonts w:ascii="Verdana" w:hAnsi="Verdana"/>
          <w:color w:val="2C2C2E"/>
          <w:lang w:val="en-US"/>
        </w:rPr>
        <w:t xml:space="preserve"> Project, 2009.</w:t>
      </w:r>
    </w:p>
    <w:p w:rsidR="00B65FF6" w:rsidRPr="00E6427F" w:rsidRDefault="00B65FF6" w:rsidP="00055968">
      <w:pPr>
        <w:rPr>
          <w:rFonts w:ascii="Verdana" w:hAnsi="Verdana"/>
          <w:color w:val="2C2C2E"/>
          <w:lang w:val="en-US"/>
        </w:rPr>
      </w:pPr>
    </w:p>
    <w:p w:rsidR="00723CF2" w:rsidRPr="00E6427F" w:rsidRDefault="00723CF2">
      <w:pPr>
        <w:rPr>
          <w:rFonts w:ascii="Verdana" w:hAnsi="Verdana"/>
          <w:color w:val="2C2C2E"/>
          <w:lang w:val="en-US"/>
        </w:rPr>
      </w:pPr>
      <w:r w:rsidRPr="00E6427F">
        <w:rPr>
          <w:rFonts w:ascii="Verdana" w:hAnsi="Verdana"/>
          <w:color w:val="2C2C2E"/>
          <w:lang w:val="en-US"/>
        </w:rPr>
        <w:t>… Chapter 1</w:t>
      </w:r>
      <w:r w:rsidRPr="00E6427F">
        <w:rPr>
          <w:rStyle w:val="Appeldenotedefin"/>
          <w:rFonts w:ascii="Verdana" w:hAnsi="Verdana"/>
          <w:color w:val="2C2C2E"/>
        </w:rPr>
        <w:endnoteReference w:id="4"/>
      </w:r>
    </w:p>
    <w:p w:rsidR="00723CF2" w:rsidRPr="00E6427F" w:rsidRDefault="00723CF2">
      <w:pPr>
        <w:rPr>
          <w:rFonts w:ascii="Verdana" w:hAnsi="Verdana"/>
          <w:color w:val="2C2C2E"/>
          <w:lang w:val="en-US"/>
        </w:rPr>
      </w:pPr>
      <w:proofErr w:type="gramStart"/>
      <w:r w:rsidRPr="00E6427F">
        <w:rPr>
          <w:rFonts w:ascii="Verdana" w:hAnsi="Verdana"/>
          <w:color w:val="2C2C2E"/>
          <w:lang w:val="en-US"/>
        </w:rPr>
        <w:t>…[</w:t>
      </w:r>
      <w:proofErr w:type="gramEnd"/>
      <w:r w:rsidRPr="00E6427F">
        <w:rPr>
          <w:rFonts w:ascii="Verdana" w:hAnsi="Verdana"/>
          <w:color w:val="2C2C2E"/>
          <w:lang w:val="en-US"/>
        </w:rPr>
        <w:t>Chen] Ping’s strategies.</w:t>
      </w:r>
      <w:r w:rsidRPr="00E6427F">
        <w:rPr>
          <w:rStyle w:val="Appeldenotedefin"/>
          <w:rFonts w:ascii="Verdana" w:hAnsi="Verdana"/>
          <w:color w:val="2C2C2E"/>
        </w:rPr>
        <w:endnoteReference w:id="5"/>
      </w:r>
    </w:p>
    <w:p w:rsidR="00723CF2" w:rsidRPr="00E6427F" w:rsidRDefault="00723CF2">
      <w:pPr>
        <w:rPr>
          <w:rFonts w:ascii="Verdana" w:hAnsi="Verdana"/>
          <w:color w:val="2C2C2E"/>
          <w:lang w:val="en-US"/>
        </w:rPr>
      </w:pPr>
      <w:r w:rsidRPr="00E6427F">
        <w:rPr>
          <w:rFonts w:ascii="Verdana" w:hAnsi="Verdana"/>
          <w:color w:val="2C2C2E"/>
          <w:lang w:val="en-US"/>
        </w:rPr>
        <w:t>If there are places to cut, then attack there, causing weak formations; even if there is no gain, there will be no harm to the overall pattern. If the vanguard becomes strong,</w:t>
      </w:r>
      <w:r w:rsidRPr="00E6427F">
        <w:rPr>
          <w:rStyle w:val="Appeldenotedefin"/>
          <w:rFonts w:ascii="Verdana" w:hAnsi="Verdana"/>
          <w:color w:val="2C2C2E"/>
        </w:rPr>
        <w:endnoteReference w:id="6"/>
      </w:r>
      <w:r w:rsidRPr="00E6427F">
        <w:rPr>
          <w:rStyle w:val="bibit"/>
          <w:rFonts w:ascii="Verdana" w:hAnsi="Verdana"/>
          <w:color w:val="2C2C2E"/>
          <w:sz w:val="18"/>
          <w:szCs w:val="18"/>
          <w:lang w:val="en-US"/>
        </w:rPr>
        <w:t xml:space="preserve"> </w:t>
      </w:r>
      <w:r w:rsidRPr="00E6427F">
        <w:rPr>
          <w:rStyle w:val="smaller"/>
          <w:rFonts w:ascii="Verdana" w:hAnsi="Verdana"/>
          <w:color w:val="2C2C2E"/>
          <w:sz w:val="18"/>
          <w:szCs w:val="18"/>
          <w:lang w:val="en-US"/>
        </w:rPr>
        <w:t> </w:t>
      </w:r>
      <w:r w:rsidRPr="00E6427F">
        <w:rPr>
          <w:rFonts w:ascii="Verdana" w:hAnsi="Verdana"/>
          <w:color w:val="2C2C2E"/>
          <w:lang w:val="en-US"/>
        </w:rPr>
        <w:t>one can encroach. If strategic advantage</w:t>
      </w:r>
      <w:r w:rsidRPr="00E6427F">
        <w:rPr>
          <w:rStyle w:val="Appeldenotedefin"/>
          <w:rFonts w:ascii="Verdana" w:hAnsi="Verdana"/>
          <w:color w:val="2C2C2E"/>
          <w:lang w:val="en-US"/>
        </w:rPr>
        <w:endnoteReference w:id="7"/>
      </w:r>
      <w:r w:rsidRPr="00E6427F">
        <w:rPr>
          <w:rFonts w:ascii="Verdana" w:hAnsi="Verdana"/>
          <w:color w:val="2C2C2E"/>
          <w:lang w:val="en-US"/>
        </w:rPr>
        <w:t>is already lost, then defend the borders. If greedy, one will often be defeated. If timid, one will rarely succeed.</w:t>
      </w:r>
      <w:r w:rsidRPr="00E6427F">
        <w:rPr>
          <w:rStyle w:val="Appeldenotedefin"/>
          <w:rFonts w:ascii="Verdana" w:hAnsi="Verdana"/>
          <w:color w:val="2C2C2E"/>
          <w:lang w:val="en-US"/>
        </w:rPr>
        <w:endnoteReference w:id="8"/>
      </w:r>
    </w:p>
    <w:p w:rsidR="00723CF2" w:rsidRPr="00E6427F" w:rsidRDefault="00723CF2">
      <w:pPr>
        <w:rPr>
          <w:rFonts w:ascii="Verdana" w:hAnsi="Verdana"/>
          <w:color w:val="2C2C2E"/>
          <w:lang w:val="en-US"/>
        </w:rPr>
      </w:pPr>
      <w:r w:rsidRPr="00E6427F">
        <w:rPr>
          <w:rFonts w:ascii="Verdana" w:hAnsi="Verdana"/>
          <w:color w:val="2C2C2E"/>
          <w:lang w:val="en-US"/>
        </w:rPr>
        <w:t>Like two generals planning against each other, if there is an opportunity, seize it. The ancients said “don’t consider a virtuous heart to be good; one must be capable of subtle deceptions.”</w:t>
      </w:r>
      <w:r w:rsidRPr="00E6427F">
        <w:rPr>
          <w:rStyle w:val="Appeldenotedefin"/>
          <w:rFonts w:ascii="Verdana" w:hAnsi="Verdana"/>
          <w:color w:val="2C2C2E"/>
          <w:lang w:val="en-US"/>
        </w:rPr>
        <w:endnoteReference w:id="9"/>
      </w:r>
    </w:p>
    <w:p w:rsidR="00723CF2" w:rsidRPr="00E6427F" w:rsidRDefault="00723CF2">
      <w:pPr>
        <w:rPr>
          <w:rStyle w:val="smaller"/>
          <w:rFonts w:ascii="Verdana" w:hAnsi="Verdana"/>
          <w:color w:val="2C2C2E"/>
          <w:sz w:val="18"/>
          <w:szCs w:val="18"/>
          <w:lang w:val="en-US"/>
        </w:rPr>
      </w:pPr>
      <w:r w:rsidRPr="00E6427F">
        <w:rPr>
          <w:rFonts w:ascii="Verdana" w:hAnsi="Verdana"/>
          <w:color w:val="2C2C2E"/>
          <w:lang w:val="en-US"/>
        </w:rPr>
        <w:t xml:space="preserve">If your intentions lie in the southeast, then deceptively play in the northwest. Like the Lord of </w:t>
      </w:r>
      <w:proofErr w:type="spellStart"/>
      <w:r w:rsidRPr="00E6427F">
        <w:rPr>
          <w:rFonts w:ascii="Verdana" w:hAnsi="Verdana"/>
          <w:color w:val="2C2C2E"/>
          <w:lang w:val="en-US"/>
        </w:rPr>
        <w:t>Jin’s</w:t>
      </w:r>
      <w:proofErr w:type="spellEnd"/>
      <w:r w:rsidRPr="00E6427F">
        <w:rPr>
          <w:rFonts w:ascii="Verdana" w:hAnsi="Verdana"/>
          <w:color w:val="2C2C2E"/>
          <w:lang w:val="en-US"/>
        </w:rPr>
        <w:t xml:space="preserve"> invasion of </w:t>
      </w:r>
      <w:proofErr w:type="spellStart"/>
      <w:r w:rsidRPr="00E6427F">
        <w:rPr>
          <w:rFonts w:ascii="Verdana" w:hAnsi="Verdana"/>
          <w:color w:val="2C2C2E"/>
          <w:lang w:val="en-US"/>
        </w:rPr>
        <w:t>Guo</w:t>
      </w:r>
      <w:proofErr w:type="spellEnd"/>
      <w:r w:rsidRPr="00E6427F">
        <w:rPr>
          <w:rFonts w:ascii="Verdana" w:hAnsi="Verdana"/>
          <w:color w:val="2C2C2E"/>
          <w:lang w:val="en-US"/>
        </w:rPr>
        <w:t>,</w:t>
      </w:r>
      <w:r w:rsidRPr="00E6427F">
        <w:rPr>
          <w:rStyle w:val="Appeldenotedefin"/>
          <w:rFonts w:ascii="Verdana" w:hAnsi="Verdana"/>
          <w:color w:val="2C2C2E"/>
        </w:rPr>
        <w:endnoteReference w:id="10"/>
      </w:r>
      <w:r w:rsidRPr="00E6427F">
        <w:rPr>
          <w:rFonts w:ascii="Verdana" w:hAnsi="Verdana"/>
          <w:color w:val="2C2C2E"/>
          <w:lang w:val="en-US"/>
        </w:rPr>
        <w:t xml:space="preserve"> have ulterior plans; or like </w:t>
      </w:r>
      <w:proofErr w:type="spellStart"/>
      <w:r w:rsidRPr="00E6427F">
        <w:rPr>
          <w:rFonts w:ascii="Verdana" w:hAnsi="Verdana"/>
          <w:color w:val="2C2C2E"/>
          <w:lang w:val="en-US"/>
        </w:rPr>
        <w:t>Zhuge</w:t>
      </w:r>
      <w:proofErr w:type="spellEnd"/>
      <w:r w:rsidRPr="00E6427F">
        <w:rPr>
          <w:rFonts w:ascii="Verdana" w:hAnsi="Verdana"/>
          <w:color w:val="2C2C2E"/>
          <w:lang w:val="en-US"/>
        </w:rPr>
        <w:t xml:space="preserve"> [Liang’s] implementing the “empty” [city], be able to create good deceptions often.</w:t>
      </w:r>
      <w:r w:rsidRPr="00E6427F">
        <w:rPr>
          <w:rStyle w:val="smaller"/>
          <w:rFonts w:ascii="Verdana" w:hAnsi="Verdana"/>
          <w:color w:val="2C2C2E"/>
          <w:sz w:val="18"/>
          <w:szCs w:val="18"/>
          <w:lang w:val="en-US"/>
        </w:rPr>
        <w:t> </w:t>
      </w:r>
      <w:r w:rsidRPr="00E6427F">
        <w:rPr>
          <w:rStyle w:val="Appeldenotedefin"/>
          <w:rFonts w:ascii="Verdana" w:hAnsi="Verdana"/>
          <w:color w:val="2C2C2E"/>
          <w:sz w:val="18"/>
          <w:szCs w:val="18"/>
          <w:lang w:val="en-US"/>
        </w:rPr>
        <w:endnoteReference w:id="11"/>
      </w:r>
    </w:p>
    <w:p w:rsidR="00BF2E41" w:rsidRPr="00E6427F" w:rsidRDefault="00BF2E41">
      <w:pPr>
        <w:rPr>
          <w:rFonts w:ascii="Verdana" w:hAnsi="Verdana"/>
          <w:color w:val="2C2C2E"/>
          <w:lang w:val="en-US"/>
        </w:rPr>
      </w:pPr>
      <w:r w:rsidRPr="00E6427F">
        <w:rPr>
          <w:rFonts w:ascii="Verdana" w:hAnsi="Verdana"/>
          <w:color w:val="2C2C2E"/>
          <w:lang w:val="en-US"/>
        </w:rPr>
        <w:t>Because previous moves cannot be changed, subsequent regrets are truly difficult to bear. Go has innumerable pieces, so situations must be carefully examined. Do not let defeated armies return in rebellion to anger you, to breach the encirclement</w:t>
      </w:r>
      <w:r w:rsidRPr="00E6427F">
        <w:rPr>
          <w:rStyle w:val="Appeldenotedefin"/>
          <w:rFonts w:ascii="Verdana" w:hAnsi="Verdana"/>
          <w:color w:val="2C2C2E"/>
          <w:lang w:val="en-US"/>
        </w:rPr>
        <w:endnoteReference w:id="12"/>
      </w:r>
      <w:r w:rsidRPr="00E6427F">
        <w:rPr>
          <w:rFonts w:ascii="Verdana" w:hAnsi="Verdana"/>
          <w:color w:val="2C2C2E"/>
          <w:lang w:val="en-US"/>
        </w:rPr>
        <w:t>and revive. Pieces in these situations are not of a single type: some induce “the ladder” and rush forward like waves; some follow “the ladder” and are instead lost;</w:t>
      </w:r>
      <w:r w:rsidRPr="00E6427F">
        <w:rPr>
          <w:rStyle w:val="smaller"/>
          <w:rFonts w:ascii="Verdana" w:hAnsi="Verdana"/>
          <w:color w:val="2C2C2E"/>
          <w:sz w:val="18"/>
          <w:szCs w:val="18"/>
          <w:lang w:val="en-US"/>
        </w:rPr>
        <w:t> </w:t>
      </w:r>
      <w:r w:rsidRPr="00E6427F">
        <w:rPr>
          <w:rStyle w:val="Appeldenotedefin"/>
          <w:rFonts w:ascii="Verdana" w:hAnsi="Verdana"/>
          <w:color w:val="2C2C2E"/>
          <w:sz w:val="18"/>
          <w:szCs w:val="18"/>
          <w:lang w:val="en-US"/>
        </w:rPr>
        <w:endnoteReference w:id="13"/>
      </w:r>
      <w:r w:rsidRPr="00E6427F">
        <w:rPr>
          <w:rFonts w:ascii="Verdana" w:hAnsi="Verdana"/>
          <w:color w:val="2C2C2E"/>
          <w:lang w:val="en-US"/>
        </w:rPr>
        <w:t xml:space="preserve">some court death to stay alive; some invite danger seeking </w:t>
      </w:r>
      <w:proofErr w:type="spellStart"/>
      <w:proofErr w:type="gramStart"/>
      <w:r w:rsidRPr="00E6427F">
        <w:rPr>
          <w:rFonts w:ascii="Verdana" w:hAnsi="Verdana"/>
          <w:color w:val="2C2C2E"/>
          <w:lang w:val="en-US"/>
        </w:rPr>
        <w:t>ko</w:t>
      </w:r>
      <w:proofErr w:type="spellEnd"/>
      <w:proofErr w:type="gramEnd"/>
      <w:r w:rsidRPr="00E6427F">
        <w:rPr>
          <w:rFonts w:ascii="Verdana" w:hAnsi="Verdana"/>
          <w:color w:val="2C2C2E"/>
          <w:lang w:val="en-US"/>
        </w:rPr>
        <w:t>.</w:t>
      </w:r>
    </w:p>
    <w:p w:rsidR="00BF2E41" w:rsidRPr="00E6427F" w:rsidRDefault="00BF2E41">
      <w:pPr>
        <w:rPr>
          <w:rStyle w:val="smaller"/>
          <w:rFonts w:ascii="Verdana" w:hAnsi="Verdana"/>
          <w:color w:val="2C2C2E"/>
          <w:sz w:val="18"/>
          <w:szCs w:val="18"/>
          <w:lang w:val="en-US"/>
        </w:rPr>
      </w:pPr>
      <w:r w:rsidRPr="00E6427F">
        <w:rPr>
          <w:rFonts w:ascii="Verdana" w:hAnsi="Verdana"/>
          <w:color w:val="2C2C2E"/>
          <w:lang w:val="en-US"/>
        </w:rPr>
        <w:lastRenderedPageBreak/>
        <w:t xml:space="preserve">When the armies engage and the two compete, stop the battle and study carefully. Bolster weak groups, since the weaker will be attacked first. Even though the strong groups are self-sufficient, still build up territory. The weak groups must be encroached upon, since encroaching yields profits. Don’t wastefully fortify live groups. Don’t strive to save already dead pieces. Don’t cut two living groups. Don’t link two dead groups. There is no benefit in linking, and cutting loses </w:t>
      </w:r>
      <w:proofErr w:type="spellStart"/>
      <w:r w:rsidRPr="00E6427F">
        <w:rPr>
          <w:rFonts w:ascii="Verdana" w:hAnsi="Verdana"/>
          <w:color w:val="2C2C2E"/>
          <w:lang w:val="en-US"/>
        </w:rPr>
        <w:t>sente</w:t>
      </w:r>
      <w:proofErr w:type="spellEnd"/>
      <w:r w:rsidRPr="00E6427F">
        <w:rPr>
          <w:rFonts w:ascii="Verdana" w:hAnsi="Verdana"/>
          <w:color w:val="2C2C2E"/>
          <w:lang w:val="en-US"/>
        </w:rPr>
        <w:t xml:space="preserve">. </w:t>
      </w:r>
      <w:proofErr w:type="gramStart"/>
      <w:r w:rsidRPr="00E6427F">
        <w:rPr>
          <w:rFonts w:ascii="Verdana" w:hAnsi="Verdana"/>
          <w:color w:val="2C2C2E"/>
          <w:lang w:val="en-US"/>
        </w:rPr>
        <w:t>In Go there is the notion of “losing one” and “playing to gain two.”</w:t>
      </w:r>
      <w:proofErr w:type="gramEnd"/>
      <w:r w:rsidRPr="00E6427F">
        <w:rPr>
          <w:rFonts w:ascii="Verdana" w:hAnsi="Verdana"/>
          <w:color w:val="2C2C2E"/>
          <w:lang w:val="en-US"/>
        </w:rPr>
        <w:t xml:space="preserve"> If you enter [your opponent’s] boundaries and attack his borders, you will often hold </w:t>
      </w:r>
      <w:proofErr w:type="spellStart"/>
      <w:r w:rsidRPr="00E6427F">
        <w:rPr>
          <w:rFonts w:ascii="Verdana" w:hAnsi="Verdana"/>
          <w:color w:val="2C2C2E"/>
          <w:lang w:val="en-US"/>
        </w:rPr>
        <w:t>sente</w:t>
      </w:r>
      <w:proofErr w:type="spellEnd"/>
      <w:r w:rsidRPr="00E6427F">
        <w:rPr>
          <w:rFonts w:ascii="Verdana" w:hAnsi="Verdana"/>
          <w:color w:val="2C2C2E"/>
          <w:lang w:val="en-US"/>
        </w:rPr>
        <w:t>.</w:t>
      </w:r>
      <w:r w:rsidRPr="00E6427F">
        <w:rPr>
          <w:rStyle w:val="smaller"/>
          <w:rFonts w:ascii="Verdana" w:hAnsi="Verdana"/>
          <w:color w:val="2C2C2E"/>
          <w:sz w:val="18"/>
          <w:szCs w:val="18"/>
          <w:lang w:val="en-US"/>
        </w:rPr>
        <w:t> </w:t>
      </w:r>
      <w:r w:rsidRPr="00E6427F">
        <w:rPr>
          <w:rStyle w:val="Appeldenotedefin"/>
          <w:rFonts w:ascii="Verdana" w:hAnsi="Verdana"/>
          <w:color w:val="2C2C2E"/>
          <w:sz w:val="18"/>
          <w:szCs w:val="18"/>
          <w:lang w:val="en-US"/>
        </w:rPr>
        <w:endnoteReference w:id="14"/>
      </w:r>
    </w:p>
    <w:p w:rsidR="00BF2E41" w:rsidRPr="00E6427F" w:rsidRDefault="00BF2E41">
      <w:pPr>
        <w:rPr>
          <w:rFonts w:ascii="Verdana" w:hAnsi="Verdana"/>
          <w:color w:val="2C2C2E"/>
          <w:lang w:val="en-US"/>
        </w:rPr>
      </w:pPr>
      <w:r w:rsidRPr="00E6427F">
        <w:rPr>
          <w:rFonts w:ascii="Verdana" w:hAnsi="Verdana"/>
          <w:color w:val="2C2C2E"/>
          <w:lang w:val="en-US"/>
        </w:rPr>
        <w:t xml:space="preserve">Whenever there is a </w:t>
      </w:r>
      <w:proofErr w:type="spellStart"/>
      <w:proofErr w:type="gramStart"/>
      <w:r w:rsidRPr="00E6427F">
        <w:rPr>
          <w:rFonts w:ascii="Verdana" w:hAnsi="Verdana"/>
          <w:color w:val="2C2C2E"/>
          <w:lang w:val="en-US"/>
        </w:rPr>
        <w:t>ko</w:t>
      </w:r>
      <w:proofErr w:type="spellEnd"/>
      <w:proofErr w:type="gramEnd"/>
      <w:r w:rsidRPr="00E6427F">
        <w:rPr>
          <w:rFonts w:ascii="Verdana" w:hAnsi="Verdana"/>
          <w:color w:val="2C2C2E"/>
          <w:lang w:val="en-US"/>
        </w:rPr>
        <w:t xml:space="preserve"> situation, the one with the advantage has first created shape and strategic advantage; the one at the disadvantage is the weaker one who has not done so. If the planning is great, then one can rescue [the pieces] from outside; but if there are only minor opportunities, rationally one must stay one’s hand.</w:t>
      </w:r>
      <w:r w:rsidRPr="00E6427F">
        <w:rPr>
          <w:rFonts w:ascii="Verdana" w:hAnsi="Verdana"/>
          <w:color w:val="2C2C2E"/>
          <w:lang w:val="en-US"/>
        </w:rPr>
        <w:br/>
        <w:t>Although, this essay is meager and clumsy, it can reflect the patterns of things. Those who play accordingly will stay alive without loss.</w:t>
      </w:r>
    </w:p>
    <w:p w:rsidR="00A4084B" w:rsidRDefault="00A4084B" w:rsidP="00B65FF6">
      <w:pPr>
        <w:rPr>
          <w:rFonts w:ascii="Verdana" w:hAnsi="Verdana"/>
          <w:color w:val="2C2C2E"/>
          <w:lang w:val="en-US"/>
        </w:rPr>
      </w:pPr>
      <w:r>
        <w:rPr>
          <w:rFonts w:ascii="Verdana" w:hAnsi="Verdana"/>
          <w:color w:val="2C2C2E"/>
          <w:lang w:val="en-US"/>
        </w:rPr>
        <w:t>Bibliography</w:t>
      </w:r>
    </w:p>
    <w:p w:rsidR="00B65FF6" w:rsidRPr="00B65FF6" w:rsidRDefault="00B65FF6" w:rsidP="00B65FF6">
      <w:pPr>
        <w:rPr>
          <w:rFonts w:ascii="Verdana" w:hAnsi="Verdana"/>
          <w:color w:val="2C2C2E"/>
          <w:lang w:val="en-US"/>
        </w:rPr>
      </w:pPr>
      <w:r w:rsidRPr="00B65FF6">
        <w:rPr>
          <w:rFonts w:ascii="Verdana" w:hAnsi="Verdana"/>
          <w:color w:val="2C2C2E"/>
          <w:lang w:val="en-US"/>
        </w:rPr>
        <w:t xml:space="preserve">Giles, L, Descriptive Catalogue of the Chinese Manuscripts from </w:t>
      </w:r>
      <w:proofErr w:type="spellStart"/>
      <w:r w:rsidRPr="00B65FF6">
        <w:rPr>
          <w:rFonts w:ascii="Verdana" w:hAnsi="Verdana"/>
          <w:color w:val="2C2C2E"/>
          <w:lang w:val="en-US"/>
        </w:rPr>
        <w:t>Tunhuang</w:t>
      </w:r>
      <w:proofErr w:type="spellEnd"/>
      <w:r w:rsidRPr="00B65FF6">
        <w:rPr>
          <w:rFonts w:ascii="Verdana" w:hAnsi="Verdana"/>
          <w:color w:val="2C2C2E"/>
          <w:lang w:val="en-US"/>
        </w:rPr>
        <w:t xml:space="preserve"> in the British Museum. London: British Museum, 1957.</w:t>
      </w:r>
    </w:p>
    <w:p w:rsidR="00055968" w:rsidRDefault="00B65FF6" w:rsidP="00B65FF6">
      <w:pPr>
        <w:rPr>
          <w:rFonts w:ascii="Verdana" w:hAnsi="Verdana"/>
          <w:color w:val="2C2C2E"/>
          <w:lang w:val="en-US"/>
        </w:rPr>
      </w:pPr>
      <w:r w:rsidRPr="00B65FF6">
        <w:rPr>
          <w:rFonts w:ascii="Verdana" w:hAnsi="Verdana"/>
          <w:color w:val="2C2C2E"/>
          <w:lang w:val="en-US"/>
        </w:rPr>
        <w:t xml:space="preserve">This, the earliest surviving Go manual, is dedicated to all those who spread awareness of the dignity and fragrance of the game. </w:t>
      </w:r>
      <w:proofErr w:type="gramStart"/>
      <w:r w:rsidRPr="00B65FF6">
        <w:rPr>
          <w:rFonts w:ascii="Verdana" w:hAnsi="Verdana"/>
          <w:color w:val="2C2C2E"/>
          <w:lang w:val="en-US"/>
        </w:rPr>
        <w:t xml:space="preserve">Peter and Sheila </w:t>
      </w:r>
      <w:proofErr w:type="spellStart"/>
      <w:r w:rsidRPr="00B65FF6">
        <w:rPr>
          <w:rFonts w:ascii="Verdana" w:hAnsi="Verdana"/>
          <w:color w:val="2C2C2E"/>
          <w:lang w:val="en-US"/>
        </w:rPr>
        <w:t>Wendes</w:t>
      </w:r>
      <w:proofErr w:type="spellEnd"/>
      <w:r w:rsidRPr="00B65FF6">
        <w:rPr>
          <w:rFonts w:ascii="Verdana" w:hAnsi="Verdana"/>
          <w:color w:val="2C2C2E"/>
          <w:lang w:val="en-US"/>
        </w:rPr>
        <w:t xml:space="preserve"> Zen Machine.</w:t>
      </w:r>
      <w:proofErr w:type="gramEnd"/>
    </w:p>
    <w:p w:rsidR="00BF2E41" w:rsidRPr="00E6427F" w:rsidRDefault="00A4084B">
      <w:pPr>
        <w:rPr>
          <w:rFonts w:ascii="Verdana" w:hAnsi="Verdana"/>
          <w:color w:val="2C2C2E"/>
          <w:lang w:val="en-US"/>
        </w:rPr>
      </w:pPr>
      <w:r>
        <w:rPr>
          <w:rFonts w:ascii="Verdana" w:hAnsi="Verdana"/>
          <w:color w:val="2C2C2E"/>
          <w:lang w:val="en-US"/>
        </w:rPr>
        <w:t>Physical Info</w:t>
      </w:r>
    </w:p>
    <w:tbl>
      <w:tblPr>
        <w:tblW w:w="4200" w:type="dxa"/>
        <w:tblCellSpacing w:w="15" w:type="dxa"/>
        <w:tblCellMar>
          <w:left w:w="0" w:type="dxa"/>
          <w:right w:w="0" w:type="dxa"/>
        </w:tblCellMar>
        <w:tblLook w:val="04A0" w:firstRow="1" w:lastRow="0" w:firstColumn="1" w:lastColumn="0" w:noHBand="0" w:noVBand="1"/>
      </w:tblPr>
      <w:tblGrid>
        <w:gridCol w:w="2093"/>
        <w:gridCol w:w="2107"/>
      </w:tblGrid>
      <w:tr w:rsidR="00051C2A" w:rsidRPr="00E6427F" w:rsidTr="00B65FF6">
        <w:trPr>
          <w:tblCellSpacing w:w="15" w:type="dxa"/>
        </w:trPr>
        <w:tc>
          <w:tcPr>
            <w:tcW w:w="2100" w:type="dxa"/>
            <w:shd w:val="clear" w:color="auto" w:fill="auto"/>
            <w:hideMark/>
          </w:tcPr>
          <w:p w:rsidR="00051C2A" w:rsidRPr="00E6427F" w:rsidRDefault="00051C2A" w:rsidP="00051C2A">
            <w:pPr>
              <w:spacing w:after="0" w:line="240" w:lineRule="auto"/>
              <w:jc w:val="right"/>
              <w:rPr>
                <w:rFonts w:ascii="Verdana" w:eastAsia="Times New Roman" w:hAnsi="Verdana" w:cs="Times New Roman"/>
                <w:color w:val="485342"/>
                <w:sz w:val="24"/>
                <w:szCs w:val="24"/>
              </w:rPr>
            </w:pPr>
            <w:bookmarkStart w:id="0" w:name="_GoBack"/>
            <w:bookmarkEnd w:id="0"/>
            <w:r w:rsidRPr="00E6427F">
              <w:rPr>
                <w:rFonts w:ascii="Verdana" w:eastAsia="Times New Roman" w:hAnsi="Verdana" w:cs="Times New Roman"/>
                <w:color w:val="485342"/>
                <w:sz w:val="24"/>
                <w:szCs w:val="24"/>
              </w:rPr>
              <w:t>Institute:</w:t>
            </w:r>
          </w:p>
        </w:tc>
        <w:tc>
          <w:tcPr>
            <w:tcW w:w="2100" w:type="dxa"/>
            <w:shd w:val="clear" w:color="auto" w:fill="auto"/>
            <w:vAlign w:val="bottom"/>
            <w:hideMark/>
          </w:tcPr>
          <w:p w:rsidR="00051C2A" w:rsidRPr="00E6427F" w:rsidRDefault="00986930" w:rsidP="00051C2A">
            <w:pPr>
              <w:spacing w:after="0" w:line="240" w:lineRule="auto"/>
              <w:rPr>
                <w:rFonts w:ascii="Verdana" w:eastAsia="Times New Roman" w:hAnsi="Verdana" w:cs="Times New Roman"/>
                <w:color w:val="2C2C2E"/>
                <w:sz w:val="24"/>
                <w:szCs w:val="24"/>
              </w:rPr>
            </w:pPr>
            <w:hyperlink r:id="rId8" w:tgtFrame="instituteWin" w:history="1">
              <w:r w:rsidR="00051C2A" w:rsidRPr="00E6427F">
                <w:rPr>
                  <w:rFonts w:ascii="Verdana" w:eastAsia="Times New Roman" w:hAnsi="Verdana" w:cs="Times New Roman"/>
                  <w:color w:val="4A5F45"/>
                  <w:sz w:val="24"/>
                  <w:szCs w:val="24"/>
                </w:rPr>
                <w:t>British Library</w:t>
              </w:r>
            </w:hyperlink>
          </w:p>
        </w:tc>
      </w:tr>
      <w:tr w:rsidR="00051C2A" w:rsidRPr="00B65FF6" w:rsidTr="00B65FF6">
        <w:trPr>
          <w:tblCellSpacing w:w="15" w:type="dxa"/>
        </w:trPr>
        <w:tc>
          <w:tcPr>
            <w:tcW w:w="2100" w:type="dxa"/>
            <w:shd w:val="clear" w:color="auto" w:fill="auto"/>
            <w:hideMark/>
          </w:tcPr>
          <w:p w:rsidR="00051C2A" w:rsidRPr="00E6427F" w:rsidRDefault="00051C2A" w:rsidP="00051C2A">
            <w:pPr>
              <w:spacing w:after="0" w:line="240" w:lineRule="auto"/>
              <w:jc w:val="right"/>
              <w:rPr>
                <w:rFonts w:ascii="Verdana" w:eastAsia="Times New Roman" w:hAnsi="Verdana" w:cs="Times New Roman"/>
                <w:color w:val="485342"/>
                <w:sz w:val="24"/>
                <w:szCs w:val="24"/>
              </w:rPr>
            </w:pPr>
            <w:r w:rsidRPr="00E6427F">
              <w:rPr>
                <w:rFonts w:ascii="Verdana" w:eastAsia="Times New Roman" w:hAnsi="Verdana" w:cs="Times New Roman"/>
                <w:color w:val="485342"/>
                <w:sz w:val="24"/>
                <w:szCs w:val="24"/>
              </w:rPr>
              <w:t>Site:</w:t>
            </w:r>
          </w:p>
        </w:tc>
        <w:tc>
          <w:tcPr>
            <w:tcW w:w="2100" w:type="dxa"/>
            <w:shd w:val="clear" w:color="auto" w:fill="auto"/>
            <w:vAlign w:val="bottom"/>
            <w:hideMark/>
          </w:tcPr>
          <w:p w:rsidR="00051C2A" w:rsidRPr="00E6427F" w:rsidRDefault="00986930" w:rsidP="00051C2A">
            <w:pPr>
              <w:spacing w:after="0" w:line="240" w:lineRule="auto"/>
              <w:rPr>
                <w:rFonts w:ascii="Verdana" w:eastAsia="Times New Roman" w:hAnsi="Verdana" w:cs="Times New Roman"/>
                <w:color w:val="2C2C2E"/>
                <w:sz w:val="24"/>
                <w:szCs w:val="24"/>
              </w:rPr>
            </w:pPr>
            <w:hyperlink r:id="rId9" w:history="1">
              <w:r w:rsidR="00051C2A" w:rsidRPr="00E6427F">
                <w:rPr>
                  <w:rFonts w:ascii="Verdana" w:eastAsia="Times New Roman" w:hAnsi="Verdana" w:cs="Times New Roman"/>
                  <w:color w:val="4A5F45"/>
                  <w:sz w:val="24"/>
                  <w:szCs w:val="24"/>
                </w:rPr>
                <w:t xml:space="preserve">Dunhuang </w:t>
              </w:r>
              <w:proofErr w:type="spellStart"/>
              <w:r w:rsidR="00051C2A" w:rsidRPr="00E6427F">
                <w:rPr>
                  <w:rFonts w:ascii="Verdana" w:eastAsia="Times New Roman" w:hAnsi="Verdana" w:cs="Times New Roman"/>
                  <w:color w:val="4A5F45"/>
                  <w:sz w:val="24"/>
                  <w:szCs w:val="24"/>
                </w:rPr>
                <w:t>Mogao</w:t>
              </w:r>
              <w:proofErr w:type="spellEnd"/>
              <w:r w:rsidR="00051C2A" w:rsidRPr="00E6427F">
                <w:rPr>
                  <w:rFonts w:ascii="Verdana" w:eastAsia="Times New Roman" w:hAnsi="Verdana" w:cs="Times New Roman"/>
                  <w:color w:val="4A5F45"/>
                  <w:sz w:val="24"/>
                  <w:szCs w:val="24"/>
                </w:rPr>
                <w:t xml:space="preserve"> (none)</w:t>
              </w:r>
            </w:hyperlink>
          </w:p>
        </w:tc>
      </w:tr>
      <w:tr w:rsidR="00051C2A" w:rsidRPr="00E6427F" w:rsidTr="00B65FF6">
        <w:trPr>
          <w:tblCellSpacing w:w="15" w:type="dxa"/>
        </w:trPr>
        <w:tc>
          <w:tcPr>
            <w:tcW w:w="2100" w:type="dxa"/>
            <w:shd w:val="clear" w:color="auto" w:fill="auto"/>
            <w:hideMark/>
          </w:tcPr>
          <w:p w:rsidR="00051C2A" w:rsidRPr="00E6427F" w:rsidRDefault="00051C2A" w:rsidP="00051C2A">
            <w:pPr>
              <w:spacing w:after="0" w:line="240" w:lineRule="auto"/>
              <w:jc w:val="right"/>
              <w:rPr>
                <w:rFonts w:ascii="Verdana" w:eastAsia="Times New Roman" w:hAnsi="Verdana" w:cs="Times New Roman"/>
                <w:color w:val="485342"/>
                <w:sz w:val="24"/>
                <w:szCs w:val="24"/>
              </w:rPr>
            </w:pPr>
            <w:proofErr w:type="spellStart"/>
            <w:r w:rsidRPr="00E6427F">
              <w:rPr>
                <w:rFonts w:ascii="Verdana" w:eastAsia="Times New Roman" w:hAnsi="Verdana" w:cs="Times New Roman"/>
                <w:color w:val="485342"/>
                <w:sz w:val="24"/>
                <w:szCs w:val="24"/>
              </w:rPr>
              <w:t>Form</w:t>
            </w:r>
            <w:proofErr w:type="spellEnd"/>
            <w:r w:rsidRPr="00E6427F">
              <w:rPr>
                <w:rFonts w:ascii="Verdana" w:eastAsia="Times New Roman" w:hAnsi="Verdana" w:cs="Times New Roman"/>
                <w:color w:val="485342"/>
                <w:sz w:val="24"/>
                <w:szCs w:val="24"/>
              </w:rPr>
              <w:t>:</w:t>
            </w:r>
          </w:p>
        </w:tc>
        <w:tc>
          <w:tcPr>
            <w:tcW w:w="2100" w:type="dxa"/>
            <w:shd w:val="clear" w:color="auto" w:fill="auto"/>
            <w:vAlign w:val="bottom"/>
            <w:hideMark/>
          </w:tcPr>
          <w:p w:rsidR="00051C2A" w:rsidRPr="00E6427F" w:rsidRDefault="00051C2A" w:rsidP="00051C2A">
            <w:pPr>
              <w:spacing w:after="0" w:line="240" w:lineRule="auto"/>
              <w:rPr>
                <w:rFonts w:ascii="Verdana" w:eastAsia="Times New Roman" w:hAnsi="Verdana" w:cs="Times New Roman"/>
                <w:color w:val="2C2C2E"/>
                <w:sz w:val="24"/>
                <w:szCs w:val="24"/>
              </w:rPr>
            </w:pPr>
            <w:r w:rsidRPr="00E6427F">
              <w:rPr>
                <w:rFonts w:ascii="Verdana" w:eastAsia="Times New Roman" w:hAnsi="Verdana" w:cs="Times New Roman"/>
                <w:color w:val="2C2C2E"/>
                <w:sz w:val="24"/>
                <w:szCs w:val="24"/>
              </w:rPr>
              <w:t>scroll</w:t>
            </w:r>
          </w:p>
        </w:tc>
      </w:tr>
      <w:tr w:rsidR="00051C2A" w:rsidRPr="00E6427F" w:rsidTr="00B65FF6">
        <w:trPr>
          <w:tblCellSpacing w:w="15" w:type="dxa"/>
        </w:trPr>
        <w:tc>
          <w:tcPr>
            <w:tcW w:w="2100" w:type="dxa"/>
            <w:shd w:val="clear" w:color="auto" w:fill="auto"/>
            <w:hideMark/>
          </w:tcPr>
          <w:p w:rsidR="00051C2A" w:rsidRPr="00E6427F" w:rsidRDefault="00051C2A" w:rsidP="00051C2A">
            <w:pPr>
              <w:spacing w:after="0" w:line="240" w:lineRule="auto"/>
              <w:jc w:val="right"/>
              <w:rPr>
                <w:rFonts w:ascii="Verdana" w:eastAsia="Times New Roman" w:hAnsi="Verdana" w:cs="Times New Roman"/>
                <w:color w:val="485342"/>
                <w:sz w:val="24"/>
                <w:szCs w:val="24"/>
              </w:rPr>
            </w:pPr>
            <w:proofErr w:type="spellStart"/>
            <w:r w:rsidRPr="00E6427F">
              <w:rPr>
                <w:rFonts w:ascii="Verdana" w:eastAsia="Times New Roman" w:hAnsi="Verdana" w:cs="Times New Roman"/>
                <w:color w:val="485342"/>
                <w:sz w:val="24"/>
                <w:szCs w:val="24"/>
              </w:rPr>
              <w:t>Materials</w:t>
            </w:r>
            <w:proofErr w:type="spellEnd"/>
            <w:r w:rsidRPr="00E6427F">
              <w:rPr>
                <w:rFonts w:ascii="Verdana" w:eastAsia="Times New Roman" w:hAnsi="Verdana" w:cs="Times New Roman"/>
                <w:color w:val="485342"/>
                <w:sz w:val="24"/>
                <w:szCs w:val="24"/>
              </w:rPr>
              <w:t>:</w:t>
            </w:r>
          </w:p>
        </w:tc>
        <w:tc>
          <w:tcPr>
            <w:tcW w:w="2100" w:type="dxa"/>
            <w:shd w:val="clear" w:color="auto" w:fill="auto"/>
            <w:vAlign w:val="bottom"/>
            <w:hideMark/>
          </w:tcPr>
          <w:p w:rsidR="00051C2A" w:rsidRPr="00E6427F" w:rsidRDefault="00051C2A" w:rsidP="00051C2A">
            <w:pPr>
              <w:spacing w:after="0" w:line="240" w:lineRule="auto"/>
              <w:rPr>
                <w:rFonts w:ascii="Verdana" w:eastAsia="Times New Roman" w:hAnsi="Verdana" w:cs="Times New Roman"/>
                <w:color w:val="2C2C2E"/>
                <w:sz w:val="24"/>
                <w:szCs w:val="24"/>
              </w:rPr>
            </w:pPr>
            <w:proofErr w:type="spellStart"/>
            <w:r w:rsidRPr="00E6427F">
              <w:rPr>
                <w:rFonts w:ascii="Verdana" w:eastAsia="Times New Roman" w:hAnsi="Verdana" w:cs="Times New Roman"/>
                <w:color w:val="2C2C2E"/>
                <w:sz w:val="24"/>
                <w:szCs w:val="24"/>
              </w:rPr>
              <w:t>manuscript</w:t>
            </w:r>
            <w:proofErr w:type="spellEnd"/>
            <w:r w:rsidRPr="00E6427F">
              <w:rPr>
                <w:rFonts w:ascii="Verdana" w:eastAsia="Times New Roman" w:hAnsi="Verdana" w:cs="Times New Roman"/>
                <w:color w:val="2C2C2E"/>
                <w:sz w:val="24"/>
                <w:szCs w:val="24"/>
              </w:rPr>
              <w:t xml:space="preserve">, </w:t>
            </w:r>
            <w:proofErr w:type="spellStart"/>
            <w:r w:rsidRPr="00E6427F">
              <w:rPr>
                <w:rFonts w:ascii="Verdana" w:eastAsia="Times New Roman" w:hAnsi="Verdana" w:cs="Times New Roman"/>
                <w:color w:val="2C2C2E"/>
                <w:sz w:val="24"/>
                <w:szCs w:val="24"/>
              </w:rPr>
              <w:t>ink</w:t>
            </w:r>
            <w:proofErr w:type="spellEnd"/>
            <w:r w:rsidRPr="00E6427F">
              <w:rPr>
                <w:rFonts w:ascii="Verdana" w:eastAsia="Times New Roman" w:hAnsi="Verdana" w:cs="Times New Roman"/>
                <w:color w:val="2C2C2E"/>
                <w:sz w:val="24"/>
                <w:szCs w:val="24"/>
              </w:rPr>
              <w:t xml:space="preserve"> on </w:t>
            </w:r>
            <w:proofErr w:type="spellStart"/>
            <w:r w:rsidRPr="00E6427F">
              <w:rPr>
                <w:rFonts w:ascii="Verdana" w:eastAsia="Times New Roman" w:hAnsi="Verdana" w:cs="Times New Roman"/>
                <w:color w:val="2C2C2E"/>
                <w:sz w:val="24"/>
                <w:szCs w:val="24"/>
              </w:rPr>
              <w:t>paper</w:t>
            </w:r>
            <w:proofErr w:type="spellEnd"/>
          </w:p>
        </w:tc>
      </w:tr>
      <w:tr w:rsidR="00051C2A" w:rsidRPr="00E6427F" w:rsidTr="00B65FF6">
        <w:trPr>
          <w:tblCellSpacing w:w="15" w:type="dxa"/>
        </w:trPr>
        <w:tc>
          <w:tcPr>
            <w:tcW w:w="2100" w:type="dxa"/>
            <w:shd w:val="clear" w:color="auto" w:fill="auto"/>
            <w:hideMark/>
          </w:tcPr>
          <w:p w:rsidR="00051C2A" w:rsidRPr="00E6427F" w:rsidRDefault="00051C2A" w:rsidP="00051C2A">
            <w:pPr>
              <w:spacing w:after="0" w:line="240" w:lineRule="auto"/>
              <w:jc w:val="right"/>
              <w:rPr>
                <w:rFonts w:ascii="Verdana" w:eastAsia="Times New Roman" w:hAnsi="Verdana" w:cs="Times New Roman"/>
                <w:color w:val="485342"/>
                <w:sz w:val="24"/>
                <w:szCs w:val="24"/>
              </w:rPr>
            </w:pPr>
            <w:r w:rsidRPr="00E6427F">
              <w:rPr>
                <w:rFonts w:ascii="Verdana" w:eastAsia="Times New Roman" w:hAnsi="Verdana" w:cs="Times New Roman"/>
                <w:color w:val="485342"/>
                <w:sz w:val="24"/>
                <w:szCs w:val="24"/>
              </w:rPr>
              <w:t>Size (h x w) cm:</w:t>
            </w:r>
          </w:p>
        </w:tc>
        <w:tc>
          <w:tcPr>
            <w:tcW w:w="2100" w:type="dxa"/>
            <w:shd w:val="clear" w:color="auto" w:fill="auto"/>
            <w:vAlign w:val="bottom"/>
            <w:hideMark/>
          </w:tcPr>
          <w:p w:rsidR="00051C2A" w:rsidRPr="00E6427F" w:rsidRDefault="00051C2A" w:rsidP="00051C2A">
            <w:pPr>
              <w:spacing w:after="0" w:line="240" w:lineRule="auto"/>
              <w:rPr>
                <w:rFonts w:ascii="Verdana" w:eastAsia="Times New Roman" w:hAnsi="Verdana" w:cs="Times New Roman"/>
                <w:color w:val="2C2C2E"/>
                <w:sz w:val="24"/>
                <w:szCs w:val="24"/>
              </w:rPr>
            </w:pPr>
            <w:r w:rsidRPr="00E6427F">
              <w:rPr>
                <w:rFonts w:ascii="Verdana" w:eastAsia="Times New Roman" w:hAnsi="Verdana" w:cs="Times New Roman"/>
                <w:color w:val="2C2C2E"/>
                <w:sz w:val="24"/>
                <w:szCs w:val="24"/>
              </w:rPr>
              <w:t>15.5 x 240</w:t>
            </w:r>
          </w:p>
        </w:tc>
      </w:tr>
    </w:tbl>
    <w:p w:rsidR="00723CF2" w:rsidRPr="002166D4" w:rsidRDefault="00723CF2">
      <w:pPr>
        <w:rPr>
          <w:lang w:val="en-US"/>
        </w:rPr>
      </w:pPr>
    </w:p>
    <w:p w:rsidR="002166D4" w:rsidRDefault="005F5E45" w:rsidP="002166D4">
      <w:pPr>
        <w:rPr>
          <w:lang w:val="en-US"/>
        </w:rPr>
      </w:pPr>
      <w:r w:rsidRPr="002166D4">
        <w:rPr>
          <w:lang w:val="en-US"/>
        </w:rPr>
        <w:t xml:space="preserve">Information available on </w:t>
      </w:r>
      <w:r w:rsidR="002166D4" w:rsidRPr="002166D4">
        <w:rPr>
          <w:lang w:val="en-US"/>
        </w:rPr>
        <w:t xml:space="preserve">the site of the </w:t>
      </w:r>
      <w:r w:rsidR="002166D4">
        <w:rPr>
          <w:lang w:val="en-US"/>
        </w:rPr>
        <w:t xml:space="preserve">International </w:t>
      </w:r>
      <w:proofErr w:type="spellStart"/>
      <w:r w:rsidR="002166D4" w:rsidRPr="002166D4">
        <w:rPr>
          <w:lang w:val="en-US"/>
        </w:rPr>
        <w:t>Dunhuang</w:t>
      </w:r>
      <w:proofErr w:type="spellEnd"/>
      <w:r w:rsidR="002166D4" w:rsidRPr="002166D4">
        <w:rPr>
          <w:lang w:val="en-US"/>
        </w:rPr>
        <w:t xml:space="preserve"> project</w:t>
      </w:r>
    </w:p>
    <w:p w:rsidR="002166D4" w:rsidRPr="002166D4" w:rsidRDefault="002166D4" w:rsidP="002166D4">
      <w:pPr>
        <w:rPr>
          <w:lang w:val="en-US"/>
        </w:rPr>
      </w:pPr>
      <w:r w:rsidRPr="002166D4">
        <w:rPr>
          <w:lang w:val="en-US"/>
        </w:rPr>
        <w:t>http://idp.bl.uk/database/oo_scroll_h.a4d?uid=78845006;recnum=10528</w:t>
      </w:r>
    </w:p>
    <w:sectPr w:rsidR="002166D4" w:rsidRPr="002166D4" w:rsidSect="00B65F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930" w:rsidRDefault="00986930" w:rsidP="00723CF2">
      <w:pPr>
        <w:spacing w:after="0" w:line="240" w:lineRule="auto"/>
      </w:pPr>
      <w:r>
        <w:separator/>
      </w:r>
    </w:p>
  </w:endnote>
  <w:endnote w:type="continuationSeparator" w:id="0">
    <w:p w:rsidR="00986930" w:rsidRDefault="00986930" w:rsidP="00723CF2">
      <w:pPr>
        <w:spacing w:after="0" w:line="240" w:lineRule="auto"/>
      </w:pPr>
      <w:r>
        <w:continuationSeparator/>
      </w:r>
    </w:p>
  </w:endnote>
  <w:endnote w:id="1">
    <w:p w:rsidR="00055968" w:rsidRPr="00055968" w:rsidRDefault="00055968">
      <w:pPr>
        <w:pStyle w:val="Notedefin"/>
        <w:rPr>
          <w:lang w:val="en-US"/>
        </w:rPr>
      </w:pPr>
      <w:r>
        <w:rPr>
          <w:rStyle w:val="Appeldenotedefin"/>
        </w:rPr>
        <w:endnoteRef/>
      </w:r>
      <w:r w:rsidRPr="00055968">
        <w:rPr>
          <w:lang w:val="en-US"/>
        </w:rPr>
        <w:t xml:space="preserve"> </w:t>
      </w:r>
      <w:r w:rsidRPr="00E6427F">
        <w:rPr>
          <w:rFonts w:ascii="Verdana" w:hAnsi="Verdana"/>
          <w:color w:val="2C2C2E"/>
          <w:sz w:val="18"/>
          <w:szCs w:val="18"/>
          <w:lang w:val="en-US"/>
        </w:rPr>
        <w:t>The Chinese name for the game is weiqi, the first character of the title is a variant of qi, pronounced go in Japan. Since most English speakers familiar with the game have studied it with Japanese terminology, for the sake of clarity, I use Go instead of weiqi, and try to apply the appropriate Japanese terms where applicable.]</w:t>
      </w:r>
    </w:p>
  </w:endnote>
  <w:endnote w:id="2">
    <w:p w:rsidR="00055968" w:rsidRPr="00055968" w:rsidRDefault="00055968">
      <w:pPr>
        <w:pStyle w:val="Notedefin"/>
        <w:rPr>
          <w:lang w:val="en-US"/>
        </w:rPr>
      </w:pPr>
      <w:r>
        <w:rPr>
          <w:rStyle w:val="Appeldenotedefin"/>
        </w:rPr>
        <w:endnoteRef/>
      </w:r>
      <w:r w:rsidRPr="00055968">
        <w:rPr>
          <w:lang w:val="en-US"/>
        </w:rPr>
        <w:t xml:space="preserve"> </w:t>
      </w:r>
      <w:r w:rsidRPr="00E6427F">
        <w:rPr>
          <w:rFonts w:ascii="Verdana" w:hAnsi="Verdana"/>
          <w:color w:val="2C2C2E"/>
          <w:sz w:val="18"/>
          <w:szCs w:val="18"/>
          <w:lang w:val="en-US"/>
        </w:rPr>
        <w:t xml:space="preserve">One key being that black pieces are not called “black pieces” </w:t>
      </w:r>
      <w:r w:rsidRPr="00E6427F">
        <w:rPr>
          <w:rFonts w:ascii="Verdana" w:hAnsi="Verdana"/>
          <w:color w:val="2C2C2E"/>
          <w:sz w:val="18"/>
          <w:szCs w:val="18"/>
        </w:rPr>
        <w:t>黑子</w:t>
      </w:r>
      <w:r w:rsidRPr="00E6427F">
        <w:rPr>
          <w:rFonts w:ascii="Verdana" w:hAnsi="Verdana"/>
          <w:color w:val="2C2C2E"/>
          <w:sz w:val="18"/>
          <w:szCs w:val="18"/>
          <w:lang w:val="en-US"/>
        </w:rPr>
        <w:t xml:space="preserve">, but “raven pieces” </w:t>
      </w:r>
      <w:r w:rsidRPr="00E6427F">
        <w:rPr>
          <w:rFonts w:ascii="Verdana" w:hAnsi="Verdana"/>
          <w:color w:val="2C2C2E"/>
          <w:sz w:val="18"/>
          <w:szCs w:val="18"/>
        </w:rPr>
        <w:t>烏子</w:t>
      </w:r>
      <w:r w:rsidRPr="00E6427F">
        <w:rPr>
          <w:rFonts w:ascii="Verdana" w:hAnsi="Verdana"/>
          <w:color w:val="2C2C2E"/>
          <w:sz w:val="18"/>
          <w:szCs w:val="18"/>
          <w:lang w:val="en-US"/>
        </w:rPr>
        <w:t xml:space="preserve">. Cheng found that “black” was part of the childhood name of one of the Northern Zhou emperors. Traditionally, one cannot use a character in an </w:t>
      </w:r>
      <w:proofErr w:type="gramStart"/>
      <w:r w:rsidRPr="00E6427F">
        <w:rPr>
          <w:rFonts w:ascii="Verdana" w:hAnsi="Verdana"/>
          <w:color w:val="2C2C2E"/>
          <w:sz w:val="18"/>
          <w:szCs w:val="18"/>
          <w:lang w:val="en-US"/>
        </w:rPr>
        <w:t>emperors</w:t>
      </w:r>
      <w:proofErr w:type="gramEnd"/>
      <w:r w:rsidRPr="00E6427F">
        <w:rPr>
          <w:rFonts w:ascii="Verdana" w:hAnsi="Verdana"/>
          <w:color w:val="2C2C2E"/>
          <w:sz w:val="18"/>
          <w:szCs w:val="18"/>
          <w:lang w:val="en-US"/>
        </w:rPr>
        <w:t xml:space="preserve"> name out of respect, and so must substitute another character for that which is to be avoided. In Northern Zhou, “Black River” and “Black Peak” were referred to as “Raven River” and “Raven Peak” to avoid the taboo character “black.” Cheng </w:t>
      </w:r>
      <w:proofErr w:type="spellStart"/>
      <w:r w:rsidRPr="00E6427F">
        <w:rPr>
          <w:rFonts w:ascii="Verdana" w:hAnsi="Verdana"/>
          <w:color w:val="2C2C2E"/>
          <w:sz w:val="18"/>
          <w:szCs w:val="18"/>
          <w:lang w:val="en-US"/>
        </w:rPr>
        <w:t>Enyuan</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Dunhuang</w:t>
      </w:r>
      <w:proofErr w:type="spellEnd"/>
      <w:r w:rsidRPr="00E6427F">
        <w:rPr>
          <w:rFonts w:ascii="Verdana" w:hAnsi="Verdana"/>
          <w:color w:val="2C2C2E"/>
          <w:sz w:val="18"/>
          <w:szCs w:val="18"/>
          <w:lang w:val="en-US"/>
        </w:rPr>
        <w:t xml:space="preserve"> Qi Jing Jian Zheng [An Examination of The </w:t>
      </w:r>
      <w:proofErr w:type="spellStart"/>
      <w:r w:rsidRPr="00E6427F">
        <w:rPr>
          <w:rFonts w:ascii="Verdana" w:hAnsi="Verdana"/>
          <w:color w:val="2C2C2E"/>
          <w:sz w:val="18"/>
          <w:szCs w:val="18"/>
          <w:lang w:val="en-US"/>
        </w:rPr>
        <w:t>Dunhuang</w:t>
      </w:r>
      <w:proofErr w:type="spellEnd"/>
      <w:r w:rsidRPr="00E6427F">
        <w:rPr>
          <w:rFonts w:ascii="Verdana" w:hAnsi="Verdana"/>
          <w:color w:val="2C2C2E"/>
          <w:sz w:val="18"/>
          <w:szCs w:val="18"/>
          <w:lang w:val="en-US"/>
        </w:rPr>
        <w:t xml:space="preserve"> "Classic of Go"] </w:t>
      </w:r>
      <w:proofErr w:type="gramStart"/>
      <w:r w:rsidRPr="00E6427F">
        <w:rPr>
          <w:rFonts w:ascii="Verdana" w:hAnsi="Verdana"/>
          <w:color w:val="2C2C2E"/>
          <w:sz w:val="18"/>
          <w:szCs w:val="18"/>
          <w:lang w:val="en-US"/>
        </w:rPr>
        <w:t>Chengdu :</w:t>
      </w:r>
      <w:proofErr w:type="gramEnd"/>
      <w:r w:rsidRPr="00E6427F">
        <w:rPr>
          <w:rFonts w:ascii="Verdana" w:hAnsi="Verdana"/>
          <w:color w:val="2C2C2E"/>
          <w:sz w:val="18"/>
          <w:szCs w:val="18"/>
          <w:lang w:val="en-US"/>
        </w:rPr>
        <w:t xml:space="preserve"> Shu </w:t>
      </w:r>
      <w:proofErr w:type="spellStart"/>
      <w:r w:rsidRPr="00E6427F">
        <w:rPr>
          <w:rFonts w:ascii="Verdana" w:hAnsi="Verdana"/>
          <w:color w:val="2C2C2E"/>
          <w:sz w:val="18"/>
          <w:szCs w:val="18"/>
          <w:lang w:val="en-US"/>
        </w:rPr>
        <w:t>Rong</w:t>
      </w:r>
      <w:proofErr w:type="spellEnd"/>
      <w:r w:rsidRPr="00E6427F">
        <w:rPr>
          <w:rFonts w:ascii="Verdana" w:hAnsi="Verdana"/>
          <w:color w:val="2C2C2E"/>
          <w:sz w:val="18"/>
          <w:szCs w:val="18"/>
          <w:lang w:val="en-US"/>
        </w:rPr>
        <w:t xml:space="preserve"> qi </w:t>
      </w:r>
      <w:proofErr w:type="spellStart"/>
      <w:r w:rsidRPr="00E6427F">
        <w:rPr>
          <w:rFonts w:ascii="Verdana" w:hAnsi="Verdana"/>
          <w:color w:val="2C2C2E"/>
          <w:sz w:val="18"/>
          <w:szCs w:val="18"/>
          <w:lang w:val="en-US"/>
        </w:rPr>
        <w:t>yi</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chu</w:t>
      </w:r>
      <w:proofErr w:type="spellEnd"/>
      <w:r w:rsidRPr="00E6427F">
        <w:rPr>
          <w:rFonts w:ascii="Verdana" w:hAnsi="Verdana"/>
          <w:color w:val="2C2C2E"/>
          <w:sz w:val="18"/>
          <w:szCs w:val="18"/>
          <w:lang w:val="en-US"/>
        </w:rPr>
        <w:t xml:space="preserve"> ban she : Sichuan sheng </w:t>
      </w:r>
      <w:proofErr w:type="spellStart"/>
      <w:r w:rsidRPr="00E6427F">
        <w:rPr>
          <w:rFonts w:ascii="Verdana" w:hAnsi="Verdana"/>
          <w:color w:val="2C2C2E"/>
          <w:sz w:val="18"/>
          <w:szCs w:val="18"/>
          <w:lang w:val="en-US"/>
        </w:rPr>
        <w:t>xin</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h</w:t>
      </w:r>
      <w:r w:rsidR="00E6427F">
        <w:rPr>
          <w:rFonts w:ascii="Verdana" w:hAnsi="Verdana"/>
          <w:color w:val="2C2C2E"/>
          <w:sz w:val="18"/>
          <w:szCs w:val="18"/>
          <w:lang w:val="en-US"/>
        </w:rPr>
        <w:t>ua</w:t>
      </w:r>
      <w:proofErr w:type="spellEnd"/>
      <w:r w:rsidR="00E6427F">
        <w:rPr>
          <w:rFonts w:ascii="Verdana" w:hAnsi="Verdana"/>
          <w:color w:val="2C2C2E"/>
          <w:sz w:val="18"/>
          <w:szCs w:val="18"/>
          <w:lang w:val="en-US"/>
        </w:rPr>
        <w:t xml:space="preserve"> </w:t>
      </w:r>
      <w:proofErr w:type="spellStart"/>
      <w:r w:rsidR="00E6427F">
        <w:rPr>
          <w:rFonts w:ascii="Verdana" w:hAnsi="Verdana"/>
          <w:color w:val="2C2C2E"/>
          <w:sz w:val="18"/>
          <w:szCs w:val="18"/>
          <w:lang w:val="en-US"/>
        </w:rPr>
        <w:t>shu</w:t>
      </w:r>
      <w:proofErr w:type="spellEnd"/>
      <w:r w:rsidR="00E6427F">
        <w:rPr>
          <w:rFonts w:ascii="Verdana" w:hAnsi="Verdana"/>
          <w:color w:val="2C2C2E"/>
          <w:sz w:val="18"/>
          <w:szCs w:val="18"/>
          <w:lang w:val="en-US"/>
        </w:rPr>
        <w:t xml:space="preserve"> </w:t>
      </w:r>
      <w:proofErr w:type="spellStart"/>
      <w:r w:rsidR="00E6427F">
        <w:rPr>
          <w:rFonts w:ascii="Verdana" w:hAnsi="Verdana"/>
          <w:color w:val="2C2C2E"/>
          <w:sz w:val="18"/>
          <w:szCs w:val="18"/>
          <w:lang w:val="en-US"/>
        </w:rPr>
        <w:t>dian</w:t>
      </w:r>
      <w:proofErr w:type="spellEnd"/>
      <w:r w:rsidR="00E6427F">
        <w:rPr>
          <w:rFonts w:ascii="Verdana" w:hAnsi="Verdana"/>
          <w:color w:val="2C2C2E"/>
          <w:sz w:val="18"/>
          <w:szCs w:val="18"/>
          <w:lang w:val="en-US"/>
        </w:rPr>
        <w:t xml:space="preserve"> fa </w:t>
      </w:r>
      <w:proofErr w:type="spellStart"/>
      <w:r w:rsidR="00E6427F">
        <w:rPr>
          <w:rFonts w:ascii="Verdana" w:hAnsi="Verdana"/>
          <w:color w:val="2C2C2E"/>
          <w:sz w:val="18"/>
          <w:szCs w:val="18"/>
          <w:lang w:val="en-US"/>
        </w:rPr>
        <w:t>xing</w:t>
      </w:r>
      <w:proofErr w:type="spellEnd"/>
      <w:r w:rsidR="00E6427F">
        <w:rPr>
          <w:rFonts w:ascii="Verdana" w:hAnsi="Verdana"/>
          <w:color w:val="2C2C2E"/>
          <w:sz w:val="18"/>
          <w:szCs w:val="18"/>
          <w:lang w:val="en-US"/>
        </w:rPr>
        <w:t>, 1990), 95.</w:t>
      </w:r>
    </w:p>
  </w:endnote>
  <w:endnote w:id="3">
    <w:p w:rsidR="00EA18AC" w:rsidRPr="00E6427F" w:rsidRDefault="00EA18AC" w:rsidP="00EA18AC">
      <w:pPr>
        <w:pStyle w:val="Notedefin"/>
        <w:rPr>
          <w:lang w:val="en-US"/>
        </w:rPr>
      </w:pPr>
      <w:r>
        <w:rPr>
          <w:rStyle w:val="Appeldenotedefin"/>
        </w:rPr>
        <w:endnoteRef/>
      </w:r>
      <w:r w:rsidRPr="00055968">
        <w:rPr>
          <w:lang w:val="en-US"/>
        </w:rPr>
        <w:t xml:space="preserve"> </w:t>
      </w:r>
      <w:proofErr w:type="gramStart"/>
      <w:r w:rsidRPr="00E6427F">
        <w:rPr>
          <w:rFonts w:ascii="Verdana" w:hAnsi="Verdana"/>
          <w:color w:val="2C2C2E"/>
          <w:sz w:val="18"/>
          <w:szCs w:val="18"/>
          <w:lang w:val="en-US"/>
        </w:rPr>
        <w:t>Anonymous, "</w:t>
      </w:r>
      <w:r w:rsidRPr="00E6427F">
        <w:rPr>
          <w:rFonts w:ascii="Verdana" w:hAnsi="Verdana"/>
          <w:color w:val="2C2C2E"/>
          <w:sz w:val="18"/>
          <w:szCs w:val="18"/>
        </w:rPr>
        <w:t>敦煌棋經</w:t>
      </w:r>
      <w:r w:rsidRPr="00E6427F">
        <w:rPr>
          <w:rFonts w:ascii="Verdana" w:hAnsi="Verdana"/>
          <w:color w:val="2C2C2E"/>
          <w:sz w:val="18"/>
          <w:szCs w:val="18"/>
          <w:lang w:val="en-US"/>
        </w:rPr>
        <w:t xml:space="preserve">," CCC </w:t>
      </w:r>
      <w:proofErr w:type="spellStart"/>
      <w:r w:rsidRPr="00E6427F">
        <w:rPr>
          <w:rFonts w:ascii="Verdana" w:hAnsi="Verdana"/>
          <w:color w:val="2C2C2E"/>
          <w:sz w:val="18"/>
          <w:szCs w:val="18"/>
          <w:lang w:val="en-US"/>
        </w:rPr>
        <w:t>Yenching</w:t>
      </w:r>
      <w:proofErr w:type="spellEnd"/>
      <w:r w:rsidRPr="00E6427F">
        <w:rPr>
          <w:rFonts w:ascii="Verdana" w:hAnsi="Verdana"/>
          <w:color w:val="2C2C2E"/>
          <w:sz w:val="18"/>
          <w:szCs w:val="18"/>
          <w:lang w:val="en-US"/>
        </w:rPr>
        <w:t xml:space="preserve"> College, http://</w:t>
      </w:r>
      <w:r w:rsidR="00E6427F">
        <w:rPr>
          <w:rFonts w:ascii="Verdana" w:hAnsi="Verdana"/>
          <w:color w:val="2C2C2E"/>
          <w:sz w:val="18"/>
          <w:szCs w:val="18"/>
          <w:lang w:val="en-US"/>
        </w:rPr>
        <w:t>go.yenching.edu.hk/dh_txt1.htm.</w:t>
      </w:r>
      <w:proofErr w:type="gramEnd"/>
    </w:p>
  </w:endnote>
  <w:endnote w:id="4">
    <w:p w:rsidR="00723CF2" w:rsidRPr="00E6427F" w:rsidRDefault="00723CF2">
      <w:pPr>
        <w:pStyle w:val="Notedefin"/>
        <w:rPr>
          <w:lang w:val="en-US"/>
        </w:rPr>
      </w:pPr>
      <w:r>
        <w:rPr>
          <w:rStyle w:val="Appeldenotedefin"/>
        </w:rPr>
        <w:endnoteRef/>
      </w:r>
      <w:r w:rsidRPr="00723CF2">
        <w:rPr>
          <w:lang w:val="en-US"/>
        </w:rPr>
        <w:t xml:space="preserve"> </w:t>
      </w:r>
      <w:r w:rsidRPr="00E6427F">
        <w:rPr>
          <w:rFonts w:ascii="Verdana" w:hAnsi="Verdana"/>
          <w:color w:val="2C2C2E"/>
          <w:sz w:val="18"/>
          <w:szCs w:val="18"/>
          <w:lang w:val="en-US"/>
        </w:rPr>
        <w:t xml:space="preserve">All sources agree that there is missing text. Cheng </w:t>
      </w:r>
      <w:proofErr w:type="spellStart"/>
      <w:r w:rsidRPr="00E6427F">
        <w:rPr>
          <w:rFonts w:ascii="Verdana" w:hAnsi="Verdana"/>
          <w:color w:val="2C2C2E"/>
          <w:sz w:val="18"/>
          <w:szCs w:val="18"/>
          <w:lang w:val="en-US"/>
        </w:rPr>
        <w:t>Enyuan</w:t>
      </w:r>
      <w:proofErr w:type="spellEnd"/>
      <w:r w:rsidRPr="00E6427F">
        <w:rPr>
          <w:rFonts w:ascii="Verdana" w:hAnsi="Verdana"/>
          <w:color w:val="2C2C2E"/>
          <w:sz w:val="18"/>
          <w:szCs w:val="18"/>
          <w:lang w:val="en-US"/>
        </w:rPr>
        <w:t xml:space="preserve"> suggests that, based upon the average length of subsequent chapters, it is no more than 3-5 lines of text—about 45-75 characters. </w:t>
      </w:r>
      <w:proofErr w:type="gramStart"/>
      <w:r w:rsidR="00E6427F" w:rsidRPr="00E6427F">
        <w:rPr>
          <w:rFonts w:ascii="Verdana" w:hAnsi="Verdana"/>
          <w:color w:val="2C2C2E"/>
          <w:sz w:val="18"/>
          <w:szCs w:val="18"/>
          <w:lang w:val="en-US"/>
        </w:rPr>
        <w:t>Cheng, 67.</w:t>
      </w:r>
      <w:proofErr w:type="gramEnd"/>
    </w:p>
  </w:endnote>
  <w:endnote w:id="5">
    <w:p w:rsidR="00723CF2" w:rsidRPr="00E6427F" w:rsidRDefault="00723CF2">
      <w:pPr>
        <w:pStyle w:val="Notedefin"/>
        <w:rPr>
          <w:lang w:val="en-US"/>
        </w:rPr>
      </w:pPr>
      <w:r w:rsidRPr="00E6427F">
        <w:rPr>
          <w:rStyle w:val="Appeldenotedefin"/>
        </w:rPr>
        <w:endnoteRef/>
      </w:r>
      <w:r w:rsidRPr="00E6427F">
        <w:rPr>
          <w:lang w:val="en-US"/>
        </w:rPr>
        <w:t xml:space="preserve"> </w:t>
      </w:r>
      <w:r w:rsidRPr="00E6427F">
        <w:rPr>
          <w:rFonts w:ascii="Verdana" w:hAnsi="Verdana"/>
          <w:color w:val="2C2C2E"/>
          <w:sz w:val="18"/>
          <w:szCs w:val="18"/>
          <w:lang w:val="en-US"/>
        </w:rPr>
        <w:t xml:space="preserve">The reference “Ping” seems to be to the Late Qin-Early Han figure Chen Ping, who was one of Liu Bang’s companions in the wars to establish the Han dynasty. </w:t>
      </w:r>
      <w:proofErr w:type="gramStart"/>
      <w:r w:rsidRPr="00E6427F">
        <w:rPr>
          <w:rFonts w:ascii="Verdana" w:hAnsi="Verdana"/>
          <w:color w:val="2C2C2E"/>
          <w:sz w:val="18"/>
          <w:szCs w:val="18"/>
          <w:lang w:val="en-US"/>
        </w:rPr>
        <w:t>Ibid.,</w:t>
      </w:r>
      <w:proofErr w:type="gramEnd"/>
      <w:r w:rsidRPr="00E6427F">
        <w:rPr>
          <w:rFonts w:ascii="Verdana" w:hAnsi="Verdana"/>
          <w:color w:val="2C2C2E"/>
          <w:sz w:val="18"/>
          <w:szCs w:val="18"/>
          <w:lang w:val="en-US"/>
        </w:rPr>
        <w:t xml:space="preserve"> 68.]</w:t>
      </w:r>
    </w:p>
  </w:endnote>
  <w:endnote w:id="6">
    <w:p w:rsidR="00723CF2" w:rsidRPr="00E6427F" w:rsidRDefault="00723CF2">
      <w:pPr>
        <w:pStyle w:val="Notedefin"/>
        <w:rPr>
          <w:lang w:val="en-US"/>
        </w:rPr>
      </w:pPr>
      <w:r w:rsidRPr="00E6427F">
        <w:rPr>
          <w:rStyle w:val="Appeldenotedefin"/>
        </w:rPr>
        <w:endnoteRef/>
      </w:r>
      <w:r w:rsidRPr="00E6427F">
        <w:rPr>
          <w:lang w:val="en-US"/>
        </w:rPr>
        <w:t xml:space="preserve"> </w:t>
      </w:r>
      <w:r w:rsidRPr="00E6427F">
        <w:rPr>
          <w:rFonts w:ascii="Verdana" w:hAnsi="Verdana"/>
          <w:color w:val="2C2C2E"/>
          <w:sz w:val="18"/>
          <w:szCs w:val="18"/>
          <w:lang w:val="en-US"/>
        </w:rPr>
        <w:t xml:space="preserve">Original character is unclear. Cheng suggests it is a Northern Zhou variant of </w:t>
      </w:r>
      <w:r w:rsidRPr="00E6427F">
        <w:rPr>
          <w:rFonts w:ascii="Verdana" w:hAnsi="Verdana"/>
          <w:color w:val="2C2C2E"/>
          <w:sz w:val="18"/>
          <w:szCs w:val="18"/>
        </w:rPr>
        <w:t>壤</w:t>
      </w:r>
      <w:r w:rsidRPr="00E6427F">
        <w:rPr>
          <w:rFonts w:ascii="Verdana" w:hAnsi="Verdana"/>
          <w:color w:val="2C2C2E"/>
          <w:sz w:val="18"/>
          <w:szCs w:val="18"/>
          <w:lang w:val="en-US"/>
        </w:rPr>
        <w:t xml:space="preserve">. </w:t>
      </w:r>
      <w:proofErr w:type="gramStart"/>
      <w:r w:rsidRPr="00E6427F">
        <w:rPr>
          <w:rFonts w:ascii="Verdana" w:hAnsi="Verdana"/>
          <w:color w:val="2C2C2E"/>
          <w:sz w:val="18"/>
          <w:szCs w:val="18"/>
          <w:lang w:val="en-US"/>
        </w:rPr>
        <w:t>Ibid.,</w:t>
      </w:r>
      <w:proofErr w:type="gramEnd"/>
      <w:r w:rsidRPr="00E6427F">
        <w:rPr>
          <w:rFonts w:ascii="Verdana" w:hAnsi="Verdana"/>
          <w:color w:val="2C2C2E"/>
          <w:sz w:val="18"/>
          <w:szCs w:val="18"/>
          <w:lang w:val="en-US"/>
        </w:rPr>
        <w:t xml:space="preserve"> 70.]</w:t>
      </w:r>
    </w:p>
  </w:endnote>
  <w:endnote w:id="7">
    <w:p w:rsidR="00060F78" w:rsidRPr="00E6427F" w:rsidRDefault="00723CF2">
      <w:pPr>
        <w:pStyle w:val="Notedefin"/>
        <w:rPr>
          <w:rFonts w:ascii="Verdana" w:hAnsi="Verdana"/>
          <w:color w:val="2C2C2E"/>
          <w:sz w:val="18"/>
          <w:szCs w:val="18"/>
          <w:lang w:val="en-US"/>
        </w:rPr>
      </w:pPr>
      <w:r w:rsidRPr="00E6427F">
        <w:rPr>
          <w:rStyle w:val="Appeldenotedefin"/>
        </w:rPr>
        <w:endnoteRef/>
      </w:r>
      <w:r w:rsidRPr="00E6427F">
        <w:rPr>
          <w:lang w:val="en-US"/>
        </w:rPr>
        <w:t xml:space="preserve"> </w:t>
      </w:r>
      <w:r w:rsidR="006C1739" w:rsidRPr="00E6427F">
        <w:rPr>
          <w:rFonts w:ascii="Verdana" w:hAnsi="Verdana"/>
          <w:color w:val="2C2C2E"/>
          <w:sz w:val="18"/>
          <w:szCs w:val="18"/>
          <w:lang w:val="en-US"/>
        </w:rPr>
        <w:t> </w:t>
      </w:r>
      <w:r w:rsidRPr="00E6427F">
        <w:rPr>
          <w:rFonts w:ascii="Verdana" w:hAnsi="Verdana"/>
          <w:color w:val="2C2C2E"/>
          <w:sz w:val="18"/>
          <w:szCs w:val="18"/>
          <w:lang w:val="en-US"/>
        </w:rPr>
        <w:t xml:space="preserve">Here </w:t>
      </w:r>
      <w:proofErr w:type="spellStart"/>
      <w:r w:rsidRPr="00E6427F">
        <w:rPr>
          <w:rFonts w:ascii="Verdana" w:hAnsi="Verdana"/>
          <w:color w:val="2C2C2E"/>
          <w:sz w:val="18"/>
          <w:szCs w:val="18"/>
          <w:lang w:val="en-US"/>
        </w:rPr>
        <w:t>shi</w:t>
      </w:r>
      <w:proofErr w:type="spellEnd"/>
      <w:r w:rsidRPr="00E6427F">
        <w:rPr>
          <w:rFonts w:ascii="Verdana" w:hAnsi="Verdana"/>
          <w:color w:val="2C2C2E"/>
          <w:sz w:val="18"/>
          <w:szCs w:val="18"/>
          <w:lang w:val="en-US"/>
        </w:rPr>
        <w:t xml:space="preserve"> (</w:t>
      </w:r>
      <w:r w:rsidRPr="00E6427F">
        <w:rPr>
          <w:rFonts w:ascii="Verdana" w:hAnsi="Verdana"/>
          <w:color w:val="2C2C2E"/>
          <w:sz w:val="18"/>
          <w:szCs w:val="18"/>
        </w:rPr>
        <w:t>勢</w:t>
      </w:r>
      <w:r w:rsidRPr="00E6427F">
        <w:rPr>
          <w:rFonts w:ascii="Verdana" w:hAnsi="Verdana"/>
          <w:color w:val="2C2C2E"/>
          <w:sz w:val="18"/>
          <w:szCs w:val="18"/>
          <w:lang w:val="en-US"/>
        </w:rPr>
        <w:t xml:space="preserve">) is translated as “strategic advantage” following Roger Ames’s translation of Sun Tzu: The Art of War. The term, though, is multivalent. As Ames writes, “We must struggle to understand how shih can combine in one idea the following cluster of meanings: </w:t>
      </w:r>
    </w:p>
    <w:p w:rsidR="00060F78" w:rsidRPr="00E6427F" w:rsidRDefault="00723CF2">
      <w:pPr>
        <w:pStyle w:val="Notedefin"/>
        <w:rPr>
          <w:rFonts w:ascii="Verdana" w:hAnsi="Verdana"/>
          <w:color w:val="2C2C2E"/>
          <w:sz w:val="18"/>
          <w:szCs w:val="18"/>
          <w:lang w:val="en-US"/>
        </w:rPr>
      </w:pPr>
      <w:r w:rsidRPr="00E6427F">
        <w:rPr>
          <w:rFonts w:ascii="Verdana" w:hAnsi="Verdana"/>
          <w:color w:val="2C2C2E"/>
          <w:sz w:val="18"/>
          <w:szCs w:val="18"/>
          <w:lang w:val="en-US"/>
        </w:rPr>
        <w:t>1) aspect, situation, circumstances, conditions;</w:t>
      </w:r>
    </w:p>
    <w:p w:rsidR="00060F78" w:rsidRPr="00E6427F" w:rsidRDefault="00723CF2">
      <w:pPr>
        <w:pStyle w:val="Notedefin"/>
        <w:rPr>
          <w:rFonts w:ascii="Verdana" w:hAnsi="Verdana"/>
          <w:color w:val="2C2C2E"/>
          <w:sz w:val="18"/>
          <w:szCs w:val="18"/>
          <w:lang w:val="en-US"/>
        </w:rPr>
      </w:pPr>
      <w:r w:rsidRPr="00E6427F">
        <w:rPr>
          <w:rFonts w:ascii="Verdana" w:hAnsi="Verdana"/>
          <w:color w:val="2C2C2E"/>
          <w:sz w:val="18"/>
          <w:szCs w:val="18"/>
          <w:lang w:val="en-US"/>
        </w:rPr>
        <w:t xml:space="preserve"> 2) disposition, configuration, outward shape; </w:t>
      </w:r>
    </w:p>
    <w:p w:rsidR="00060F78" w:rsidRPr="00E6427F" w:rsidRDefault="00723CF2">
      <w:pPr>
        <w:pStyle w:val="Notedefin"/>
        <w:rPr>
          <w:rFonts w:ascii="Verdana" w:hAnsi="Verdana"/>
          <w:color w:val="2C2C2E"/>
          <w:sz w:val="18"/>
          <w:szCs w:val="18"/>
          <w:lang w:val="en-US"/>
        </w:rPr>
      </w:pPr>
      <w:r w:rsidRPr="00E6427F">
        <w:rPr>
          <w:rFonts w:ascii="Verdana" w:hAnsi="Verdana"/>
          <w:color w:val="2C2C2E"/>
          <w:sz w:val="18"/>
          <w:szCs w:val="18"/>
          <w:lang w:val="en-US"/>
        </w:rPr>
        <w:t xml:space="preserve">3) force, influence, momentum, authority; </w:t>
      </w:r>
    </w:p>
    <w:p w:rsidR="00723CF2" w:rsidRPr="00E6427F" w:rsidRDefault="00723CF2">
      <w:pPr>
        <w:pStyle w:val="Notedefin"/>
        <w:rPr>
          <w:lang w:val="en-US"/>
        </w:rPr>
      </w:pPr>
      <w:r w:rsidRPr="00E6427F">
        <w:rPr>
          <w:rFonts w:ascii="Verdana" w:hAnsi="Verdana"/>
          <w:color w:val="2C2C2E"/>
          <w:sz w:val="18"/>
          <w:szCs w:val="18"/>
          <w:lang w:val="en-US"/>
        </w:rPr>
        <w:t xml:space="preserve">4) </w:t>
      </w:r>
      <w:proofErr w:type="gramStart"/>
      <w:r w:rsidRPr="00E6427F">
        <w:rPr>
          <w:rFonts w:ascii="Verdana" w:hAnsi="Verdana"/>
          <w:color w:val="2C2C2E"/>
          <w:sz w:val="18"/>
          <w:szCs w:val="18"/>
          <w:lang w:val="en-US"/>
        </w:rPr>
        <w:t>strategi</w:t>
      </w:r>
      <w:r w:rsidR="00060F78" w:rsidRPr="00E6427F">
        <w:rPr>
          <w:rFonts w:ascii="Verdana" w:hAnsi="Verdana"/>
          <w:color w:val="2C2C2E"/>
          <w:sz w:val="18"/>
          <w:szCs w:val="18"/>
          <w:lang w:val="en-US"/>
        </w:rPr>
        <w:t>c</w:t>
      </w:r>
      <w:proofErr w:type="gramEnd"/>
      <w:r w:rsidR="00060F78" w:rsidRPr="00E6427F">
        <w:rPr>
          <w:rFonts w:ascii="Verdana" w:hAnsi="Verdana"/>
          <w:color w:val="2C2C2E"/>
          <w:sz w:val="18"/>
          <w:szCs w:val="18"/>
          <w:lang w:val="en-US"/>
        </w:rPr>
        <w:t xml:space="preserve"> advantage, purchase.” Sun Tzu</w:t>
      </w:r>
      <w:r w:rsidRPr="00E6427F">
        <w:rPr>
          <w:rFonts w:ascii="Verdana" w:hAnsi="Verdana"/>
          <w:color w:val="2C2C2E"/>
          <w:sz w:val="18"/>
          <w:szCs w:val="18"/>
          <w:lang w:val="en-US"/>
        </w:rPr>
        <w:t xml:space="preserve">: The Art of War, ed. and trans. Roger Ames, </w:t>
      </w:r>
      <w:proofErr w:type="gramStart"/>
      <w:r w:rsidRPr="00E6427F">
        <w:rPr>
          <w:rFonts w:ascii="Verdana" w:hAnsi="Verdana"/>
          <w:color w:val="2C2C2E"/>
          <w:sz w:val="18"/>
          <w:szCs w:val="18"/>
          <w:lang w:val="en-US"/>
        </w:rPr>
        <w:t>The</w:t>
      </w:r>
      <w:proofErr w:type="gramEnd"/>
      <w:r w:rsidRPr="00E6427F">
        <w:rPr>
          <w:rFonts w:ascii="Verdana" w:hAnsi="Verdana"/>
          <w:color w:val="2C2C2E"/>
          <w:sz w:val="18"/>
          <w:szCs w:val="18"/>
          <w:lang w:val="en-US"/>
        </w:rPr>
        <w:t xml:space="preserve"> Classics of Ancient China (New York: Ballantine Books, 1993), 73. John Fairbairn has suggested “strong posture” as an alternative translation of this term, making a clearer connection to shapes. The key is that this term indicates a temporary advantage in a specific position at a specific moment. This strategic advantage can be enhanced or lost as the game continues; hence, timing is important. In the chapter entitled “Strategic Advantage,” Sun Tzu wrote, “That the velocity of cascading water can send </w:t>
      </w:r>
      <w:proofErr w:type="gramStart"/>
      <w:r w:rsidRPr="00E6427F">
        <w:rPr>
          <w:rFonts w:ascii="Verdana" w:hAnsi="Verdana"/>
          <w:color w:val="2C2C2E"/>
          <w:sz w:val="18"/>
          <w:szCs w:val="18"/>
          <w:lang w:val="en-US"/>
        </w:rPr>
        <w:t>boulders bobbing about is</w:t>
      </w:r>
      <w:proofErr w:type="gramEnd"/>
      <w:r w:rsidRPr="00E6427F">
        <w:rPr>
          <w:rFonts w:ascii="Verdana" w:hAnsi="Verdana"/>
          <w:color w:val="2C2C2E"/>
          <w:sz w:val="18"/>
          <w:szCs w:val="18"/>
          <w:lang w:val="en-US"/>
        </w:rPr>
        <w:t xml:space="preserve"> due to its strategic advantage. That a bird of prey when it strikes can smash its victim to pieces is due to its timing. So it is with the expert at battle that his strategic advantage is channeled and his timing is precise. His strategic advantage is drawn like a crossbow and his timing is like releasing the trigger.” ———, Sun Tzu: The Art of War, 120. Wang Xi, commenting on the term, wrote that the title Strategic Advantage “refers to the fluctuations in the accumulation of strategic advantage. The expert at battle is able to use strategic advantage to seize victory without taxing his strength.” Sun Tzu</w:t>
      </w:r>
      <w:proofErr w:type="gramStart"/>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Sunzi</w:t>
      </w:r>
      <w:proofErr w:type="spellEnd"/>
      <w:proofErr w:type="gram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shijia</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zhu</w:t>
      </w:r>
      <w:proofErr w:type="spellEnd"/>
      <w:r w:rsidRPr="00E6427F">
        <w:rPr>
          <w:rFonts w:ascii="Verdana" w:hAnsi="Verdana"/>
          <w:color w:val="2C2C2E"/>
          <w:sz w:val="18"/>
          <w:szCs w:val="18"/>
          <w:lang w:val="en-US"/>
        </w:rPr>
        <w:t xml:space="preserve"> [Ten Masters’ commentaries on the </w:t>
      </w:r>
      <w:proofErr w:type="spellStart"/>
      <w:r w:rsidRPr="00E6427F">
        <w:rPr>
          <w:rFonts w:ascii="Verdana" w:hAnsi="Verdana"/>
          <w:color w:val="2C2C2E"/>
          <w:sz w:val="18"/>
          <w:szCs w:val="18"/>
          <w:lang w:val="en-US"/>
        </w:rPr>
        <w:t>Sunzi</w:t>
      </w:r>
      <w:proofErr w:type="spellEnd"/>
      <w:r w:rsidRPr="00E6427F">
        <w:rPr>
          <w:rFonts w:ascii="Verdana" w:hAnsi="Verdana"/>
          <w:color w:val="2C2C2E"/>
          <w:sz w:val="18"/>
          <w:szCs w:val="18"/>
          <w:lang w:val="en-US"/>
        </w:rPr>
        <w:t xml:space="preserve">], vol. 6 of Zhu </w:t>
      </w:r>
      <w:proofErr w:type="spellStart"/>
      <w:r w:rsidRPr="00E6427F">
        <w:rPr>
          <w:rFonts w:ascii="Verdana" w:hAnsi="Verdana"/>
          <w:color w:val="2C2C2E"/>
          <w:sz w:val="18"/>
          <w:szCs w:val="18"/>
          <w:lang w:val="en-US"/>
        </w:rPr>
        <w:t>Zi</w:t>
      </w:r>
      <w:proofErr w:type="spellEnd"/>
      <w:r w:rsidRPr="00E6427F">
        <w:rPr>
          <w:rFonts w:ascii="Verdana" w:hAnsi="Verdana"/>
          <w:color w:val="2C2C2E"/>
          <w:sz w:val="18"/>
          <w:szCs w:val="18"/>
          <w:lang w:val="en-US"/>
        </w:rPr>
        <w:t xml:space="preserve"> Ji Cheng [Collected Commentaries on the Various Masters] (Beijing: </w:t>
      </w:r>
      <w:proofErr w:type="spellStart"/>
      <w:r w:rsidRPr="00E6427F">
        <w:rPr>
          <w:rFonts w:ascii="Verdana" w:hAnsi="Verdana"/>
          <w:color w:val="2C2C2E"/>
          <w:sz w:val="18"/>
          <w:szCs w:val="18"/>
          <w:lang w:val="en-US"/>
        </w:rPr>
        <w:t>Zhong</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hua</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shu</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ju</w:t>
      </w:r>
      <w:proofErr w:type="spellEnd"/>
      <w:r w:rsidRPr="00E6427F">
        <w:rPr>
          <w:rFonts w:ascii="Verdana" w:hAnsi="Verdana"/>
          <w:color w:val="2C2C2E"/>
          <w:sz w:val="18"/>
          <w:szCs w:val="18"/>
          <w:lang w:val="en-US"/>
        </w:rPr>
        <w:t xml:space="preserve"> : Xin </w:t>
      </w:r>
      <w:proofErr w:type="spellStart"/>
      <w:r w:rsidRPr="00E6427F">
        <w:rPr>
          <w:rFonts w:ascii="Verdana" w:hAnsi="Verdana"/>
          <w:color w:val="2C2C2E"/>
          <w:sz w:val="18"/>
          <w:szCs w:val="18"/>
          <w:lang w:val="en-US"/>
        </w:rPr>
        <w:t>hua</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shu</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dian</w:t>
      </w:r>
      <w:proofErr w:type="spellEnd"/>
      <w:r w:rsidRPr="00E6427F">
        <w:rPr>
          <w:rFonts w:ascii="Verdana" w:hAnsi="Verdana"/>
          <w:color w:val="2C2C2E"/>
          <w:sz w:val="18"/>
          <w:szCs w:val="18"/>
          <w:lang w:val="en-US"/>
        </w:rPr>
        <w:t xml:space="preserve"> Beijing fa </w:t>
      </w:r>
      <w:proofErr w:type="spellStart"/>
      <w:r w:rsidRPr="00E6427F">
        <w:rPr>
          <w:rFonts w:ascii="Verdana" w:hAnsi="Verdana"/>
          <w:color w:val="2C2C2E"/>
          <w:sz w:val="18"/>
          <w:szCs w:val="18"/>
          <w:lang w:val="en-US"/>
        </w:rPr>
        <w:t>xing</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suo</w:t>
      </w:r>
      <w:proofErr w:type="spellEnd"/>
      <w:r w:rsidRPr="00E6427F">
        <w:rPr>
          <w:rFonts w:ascii="Verdana" w:hAnsi="Verdana"/>
          <w:color w:val="2C2C2E"/>
          <w:sz w:val="18"/>
          <w:szCs w:val="18"/>
          <w:lang w:val="en-US"/>
        </w:rPr>
        <w:t xml:space="preserve"> fa </w:t>
      </w:r>
      <w:proofErr w:type="spellStart"/>
      <w:r w:rsidRPr="00E6427F">
        <w:rPr>
          <w:rFonts w:ascii="Verdana" w:hAnsi="Verdana"/>
          <w:color w:val="2C2C2E"/>
          <w:sz w:val="18"/>
          <w:szCs w:val="18"/>
          <w:lang w:val="en-US"/>
        </w:rPr>
        <w:t>xing</w:t>
      </w:r>
      <w:proofErr w:type="spellEnd"/>
      <w:r w:rsidRPr="00E6427F">
        <w:rPr>
          <w:rFonts w:ascii="Verdana" w:hAnsi="Verdana"/>
          <w:color w:val="2C2C2E"/>
          <w:sz w:val="18"/>
          <w:szCs w:val="18"/>
          <w:lang w:val="en-US"/>
        </w:rPr>
        <w:t>, 1954; reprint, 1990), 66. Strategic advantage depends upon preparation of the right shapes that will stay alive while supporting further encroachment. Perhaps underscoring this, the commentaries on the Sun Tzu note that the chapter “Strategic Advantage” logically follows the chapter on “Strategic Positions” (</w:t>
      </w:r>
      <w:r w:rsidRPr="00E6427F">
        <w:rPr>
          <w:rFonts w:ascii="Verdana" w:hAnsi="Verdana"/>
          <w:color w:val="2C2C2E"/>
          <w:sz w:val="18"/>
          <w:szCs w:val="18"/>
        </w:rPr>
        <w:t>形</w:t>
      </w:r>
      <w:r w:rsidRPr="00E6427F">
        <w:rPr>
          <w:rFonts w:ascii="Verdana" w:hAnsi="Verdana"/>
          <w:color w:val="2C2C2E"/>
          <w:sz w:val="18"/>
          <w:szCs w:val="18"/>
          <w:lang w:val="en-US"/>
        </w:rPr>
        <w:t>). ]</w:t>
      </w:r>
    </w:p>
  </w:endnote>
  <w:endnote w:id="8">
    <w:p w:rsidR="00723CF2" w:rsidRPr="00E6427F" w:rsidRDefault="00723CF2">
      <w:pPr>
        <w:pStyle w:val="Notedefin"/>
        <w:rPr>
          <w:lang w:val="en-US"/>
        </w:rPr>
      </w:pPr>
      <w:r w:rsidRPr="00E6427F">
        <w:rPr>
          <w:rStyle w:val="Appeldenotedefin"/>
        </w:rPr>
        <w:endnoteRef/>
      </w:r>
      <w:r w:rsidRPr="00E6427F">
        <w:rPr>
          <w:lang w:val="en-US"/>
        </w:rPr>
        <w:t xml:space="preserve"> </w:t>
      </w:r>
      <w:r w:rsidRPr="00E6427F">
        <w:rPr>
          <w:rFonts w:ascii="Verdana" w:hAnsi="Verdana"/>
          <w:color w:val="2C2C2E"/>
          <w:sz w:val="18"/>
          <w:szCs w:val="18"/>
          <w:lang w:val="en-US"/>
        </w:rPr>
        <w:t xml:space="preserve">Following Cheng, that </w:t>
      </w:r>
      <w:r w:rsidRPr="00E6427F">
        <w:rPr>
          <w:rFonts w:ascii="Verdana" w:hAnsi="Verdana"/>
          <w:color w:val="2C2C2E"/>
          <w:sz w:val="18"/>
          <w:szCs w:val="18"/>
        </w:rPr>
        <w:t>多</w:t>
      </w:r>
      <w:r w:rsidRPr="00E6427F">
        <w:rPr>
          <w:rFonts w:ascii="Verdana" w:hAnsi="Verdana"/>
          <w:color w:val="2C2C2E"/>
          <w:sz w:val="18"/>
          <w:szCs w:val="18"/>
          <w:lang w:val="en-US"/>
        </w:rPr>
        <w:t xml:space="preserve"> is a scribal error for </w:t>
      </w:r>
      <w:r w:rsidRPr="00E6427F">
        <w:rPr>
          <w:rFonts w:ascii="Verdana" w:hAnsi="Verdana"/>
          <w:color w:val="2C2C2E"/>
          <w:sz w:val="18"/>
          <w:szCs w:val="18"/>
        </w:rPr>
        <w:t>少</w:t>
      </w:r>
      <w:r w:rsidRPr="00E6427F">
        <w:rPr>
          <w:rFonts w:ascii="Verdana" w:hAnsi="Verdana"/>
          <w:color w:val="2C2C2E"/>
          <w:sz w:val="18"/>
          <w:szCs w:val="18"/>
          <w:lang w:val="en-US"/>
        </w:rPr>
        <w:t>, given the parallel phrases in later chapters and other Go texts.]</w:t>
      </w:r>
    </w:p>
  </w:endnote>
  <w:endnote w:id="9">
    <w:p w:rsidR="00723CF2" w:rsidRPr="00E6427F" w:rsidRDefault="00723CF2">
      <w:pPr>
        <w:pStyle w:val="Notedefin"/>
        <w:rPr>
          <w:lang w:val="en-US"/>
        </w:rPr>
      </w:pPr>
      <w:r w:rsidRPr="00E6427F">
        <w:rPr>
          <w:rStyle w:val="Appeldenotedefin"/>
        </w:rPr>
        <w:endnoteRef/>
      </w:r>
      <w:r w:rsidRPr="00E6427F">
        <w:rPr>
          <w:lang w:val="en-US"/>
        </w:rPr>
        <w:t xml:space="preserve"> </w:t>
      </w:r>
      <w:r w:rsidRPr="00E6427F">
        <w:rPr>
          <w:rFonts w:ascii="Verdana" w:hAnsi="Verdana"/>
          <w:color w:val="2C2C2E"/>
          <w:sz w:val="18"/>
          <w:szCs w:val="18"/>
          <w:lang w:val="en-US"/>
        </w:rPr>
        <w:t xml:space="preserve">This line underscores the tension between Go </w:t>
      </w:r>
      <w:r w:rsidR="00060F78" w:rsidRPr="00E6427F">
        <w:rPr>
          <w:rFonts w:ascii="Verdana" w:hAnsi="Verdana"/>
          <w:color w:val="2C2C2E"/>
          <w:sz w:val="18"/>
          <w:szCs w:val="18"/>
          <w:lang w:val="en-US"/>
        </w:rPr>
        <w:t xml:space="preserve">and </w:t>
      </w:r>
      <w:r w:rsidRPr="00E6427F">
        <w:rPr>
          <w:rFonts w:ascii="Verdana" w:hAnsi="Verdana"/>
          <w:color w:val="2C2C2E"/>
          <w:sz w:val="18"/>
          <w:szCs w:val="18"/>
          <w:lang w:val="en-US"/>
        </w:rPr>
        <w:t xml:space="preserve">the Confucian ideals, which call for straightforward actions based on moral principles. Hence, some Confucians, including Confucius, considered </w:t>
      </w:r>
      <w:proofErr w:type="gramStart"/>
      <w:r w:rsidRPr="00E6427F">
        <w:rPr>
          <w:rFonts w:ascii="Verdana" w:hAnsi="Verdana"/>
          <w:color w:val="2C2C2E"/>
          <w:sz w:val="18"/>
          <w:szCs w:val="18"/>
          <w:lang w:val="en-US"/>
        </w:rPr>
        <w:t>Go</w:t>
      </w:r>
      <w:proofErr w:type="gramEnd"/>
      <w:r w:rsidRPr="00E6427F">
        <w:rPr>
          <w:rFonts w:ascii="Verdana" w:hAnsi="Verdana"/>
          <w:color w:val="2C2C2E"/>
          <w:sz w:val="18"/>
          <w:szCs w:val="18"/>
          <w:lang w:val="en-US"/>
        </w:rPr>
        <w:t xml:space="preserve"> a waste of time, or worse.]</w:t>
      </w:r>
    </w:p>
  </w:endnote>
  <w:endnote w:id="10">
    <w:p w:rsidR="00723CF2" w:rsidRPr="00E6427F" w:rsidRDefault="00723CF2">
      <w:pPr>
        <w:pStyle w:val="Notedefin"/>
        <w:rPr>
          <w:lang w:val="en-US"/>
        </w:rPr>
      </w:pPr>
      <w:r w:rsidRPr="00E6427F">
        <w:rPr>
          <w:rStyle w:val="Appeldenotedefin"/>
        </w:rPr>
        <w:endnoteRef/>
      </w:r>
      <w:r w:rsidRPr="00E6427F">
        <w:rPr>
          <w:lang w:val="en-US"/>
        </w:rPr>
        <w:t xml:space="preserve"> </w:t>
      </w:r>
      <w:r w:rsidRPr="00E6427F">
        <w:rPr>
          <w:rFonts w:ascii="Verdana" w:hAnsi="Verdana"/>
          <w:color w:val="2C2C2E"/>
          <w:sz w:val="18"/>
          <w:szCs w:val="18"/>
          <w:lang w:val="en-US"/>
        </w:rPr>
        <w:t xml:space="preserve">In 661 BC, Duke Xian of </w:t>
      </w:r>
      <w:proofErr w:type="spellStart"/>
      <w:r w:rsidRPr="00E6427F">
        <w:rPr>
          <w:rFonts w:ascii="Verdana" w:hAnsi="Verdana"/>
          <w:color w:val="2C2C2E"/>
          <w:sz w:val="18"/>
          <w:szCs w:val="18"/>
          <w:lang w:val="en-US"/>
        </w:rPr>
        <w:t>Jin</w:t>
      </w:r>
      <w:proofErr w:type="spellEnd"/>
      <w:r w:rsidRPr="00E6427F">
        <w:rPr>
          <w:rFonts w:ascii="Verdana" w:hAnsi="Verdana"/>
          <w:color w:val="2C2C2E"/>
          <w:sz w:val="18"/>
          <w:szCs w:val="18"/>
          <w:lang w:val="en-US"/>
        </w:rPr>
        <w:t xml:space="preserve"> paid the Duke of Yu for permission to send </w:t>
      </w:r>
      <w:proofErr w:type="spellStart"/>
      <w:r w:rsidRPr="00E6427F">
        <w:rPr>
          <w:rFonts w:ascii="Verdana" w:hAnsi="Verdana"/>
          <w:color w:val="2C2C2E"/>
          <w:sz w:val="18"/>
          <w:szCs w:val="18"/>
          <w:lang w:val="en-US"/>
        </w:rPr>
        <w:t>Jin’s</w:t>
      </w:r>
      <w:proofErr w:type="spellEnd"/>
      <w:r w:rsidRPr="00E6427F">
        <w:rPr>
          <w:rFonts w:ascii="Verdana" w:hAnsi="Verdana"/>
          <w:color w:val="2C2C2E"/>
          <w:sz w:val="18"/>
          <w:szCs w:val="18"/>
          <w:lang w:val="en-US"/>
        </w:rPr>
        <w:t xml:space="preserve"> army through Yu to attack the state of </w:t>
      </w:r>
      <w:proofErr w:type="spellStart"/>
      <w:r w:rsidRPr="00E6427F">
        <w:rPr>
          <w:rFonts w:ascii="Verdana" w:hAnsi="Verdana"/>
          <w:color w:val="2C2C2E"/>
          <w:sz w:val="18"/>
          <w:szCs w:val="18"/>
          <w:lang w:val="en-US"/>
        </w:rPr>
        <w:t>Guo</w:t>
      </w:r>
      <w:proofErr w:type="spellEnd"/>
      <w:r w:rsidRPr="00E6427F">
        <w:rPr>
          <w:rFonts w:ascii="Verdana" w:hAnsi="Verdana"/>
          <w:color w:val="2C2C2E"/>
          <w:sz w:val="18"/>
          <w:szCs w:val="18"/>
          <w:lang w:val="en-US"/>
        </w:rPr>
        <w:t xml:space="preserve">, which he did successfully. In 654 BC, the Duke Xian again persuaded the Duke of Yu to give the </w:t>
      </w:r>
      <w:proofErr w:type="spellStart"/>
      <w:r w:rsidRPr="00E6427F">
        <w:rPr>
          <w:rFonts w:ascii="Verdana" w:hAnsi="Verdana"/>
          <w:color w:val="2C2C2E"/>
          <w:sz w:val="18"/>
          <w:szCs w:val="18"/>
          <w:lang w:val="en-US"/>
        </w:rPr>
        <w:t>Jin</w:t>
      </w:r>
      <w:proofErr w:type="spellEnd"/>
      <w:r w:rsidRPr="00E6427F">
        <w:rPr>
          <w:rFonts w:ascii="Verdana" w:hAnsi="Verdana"/>
          <w:color w:val="2C2C2E"/>
          <w:sz w:val="18"/>
          <w:szCs w:val="18"/>
          <w:lang w:val="en-US"/>
        </w:rPr>
        <w:t xml:space="preserve"> army passage through Yu to attack and destroy </w:t>
      </w:r>
      <w:proofErr w:type="spellStart"/>
      <w:r w:rsidRPr="00E6427F">
        <w:rPr>
          <w:rFonts w:ascii="Verdana" w:hAnsi="Verdana"/>
          <w:color w:val="2C2C2E"/>
          <w:sz w:val="18"/>
          <w:szCs w:val="18"/>
          <w:lang w:val="en-US"/>
        </w:rPr>
        <w:t>Guo</w:t>
      </w:r>
      <w:proofErr w:type="spellEnd"/>
      <w:r w:rsidRPr="00E6427F">
        <w:rPr>
          <w:rFonts w:ascii="Verdana" w:hAnsi="Verdana"/>
          <w:color w:val="2C2C2E"/>
          <w:sz w:val="18"/>
          <w:szCs w:val="18"/>
          <w:lang w:val="en-US"/>
        </w:rPr>
        <w:t xml:space="preserve">. Upon accomplishing this, the </w:t>
      </w:r>
      <w:proofErr w:type="spellStart"/>
      <w:r w:rsidRPr="00E6427F">
        <w:rPr>
          <w:rFonts w:ascii="Verdana" w:hAnsi="Verdana"/>
          <w:color w:val="2C2C2E"/>
          <w:sz w:val="18"/>
          <w:szCs w:val="18"/>
          <w:lang w:val="en-US"/>
        </w:rPr>
        <w:t>Jin</w:t>
      </w:r>
      <w:proofErr w:type="spellEnd"/>
      <w:r w:rsidRPr="00E6427F">
        <w:rPr>
          <w:rFonts w:ascii="Verdana" w:hAnsi="Verdana"/>
          <w:color w:val="2C2C2E"/>
          <w:sz w:val="18"/>
          <w:szCs w:val="18"/>
          <w:lang w:val="en-US"/>
        </w:rPr>
        <w:t xml:space="preserve"> army returned, occupied Yu and annexed it. James </w:t>
      </w:r>
      <w:proofErr w:type="spellStart"/>
      <w:r w:rsidRPr="00E6427F">
        <w:rPr>
          <w:rFonts w:ascii="Verdana" w:hAnsi="Verdana"/>
          <w:color w:val="2C2C2E"/>
          <w:sz w:val="18"/>
          <w:szCs w:val="18"/>
          <w:lang w:val="en-US"/>
        </w:rPr>
        <w:t>Legge</w:t>
      </w:r>
      <w:proofErr w:type="spellEnd"/>
      <w:r w:rsidRPr="00E6427F">
        <w:rPr>
          <w:rFonts w:ascii="Verdana" w:hAnsi="Verdana"/>
          <w:color w:val="2C2C2E"/>
          <w:sz w:val="18"/>
          <w:szCs w:val="18"/>
          <w:lang w:val="en-US"/>
        </w:rPr>
        <w:t xml:space="preserve">, </w:t>
      </w:r>
      <w:proofErr w:type="gramStart"/>
      <w:r w:rsidRPr="00E6427F">
        <w:rPr>
          <w:rFonts w:ascii="Verdana" w:hAnsi="Verdana"/>
          <w:color w:val="2C2C2E"/>
          <w:sz w:val="18"/>
          <w:szCs w:val="18"/>
          <w:lang w:val="en-US"/>
        </w:rPr>
        <w:t>ed</w:t>
      </w:r>
      <w:proofErr w:type="gramEnd"/>
      <w:r w:rsidRPr="00E6427F">
        <w:rPr>
          <w:rFonts w:ascii="Verdana" w:hAnsi="Verdana"/>
          <w:color w:val="2C2C2E"/>
          <w:sz w:val="18"/>
          <w:szCs w:val="18"/>
          <w:lang w:val="en-US"/>
        </w:rPr>
        <w:t xml:space="preserve">. The </w:t>
      </w:r>
      <w:proofErr w:type="spellStart"/>
      <w:r w:rsidRPr="00E6427F">
        <w:rPr>
          <w:rFonts w:ascii="Verdana" w:hAnsi="Verdana"/>
          <w:color w:val="2C2C2E"/>
          <w:sz w:val="18"/>
          <w:szCs w:val="18"/>
          <w:lang w:val="en-US"/>
        </w:rPr>
        <w:t>Ch'un</w:t>
      </w:r>
      <w:proofErr w:type="spellEnd"/>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Ts'ew</w:t>
      </w:r>
      <w:proofErr w:type="spellEnd"/>
      <w:r w:rsidRPr="00E6427F">
        <w:rPr>
          <w:rFonts w:ascii="Verdana" w:hAnsi="Verdana"/>
          <w:color w:val="2C2C2E"/>
          <w:sz w:val="18"/>
          <w:szCs w:val="18"/>
          <w:lang w:val="en-US"/>
        </w:rPr>
        <w:t xml:space="preserve"> with the Tso </w:t>
      </w:r>
      <w:proofErr w:type="spellStart"/>
      <w:r w:rsidRPr="00E6427F">
        <w:rPr>
          <w:rFonts w:ascii="Verdana" w:hAnsi="Verdana"/>
          <w:color w:val="2C2C2E"/>
          <w:sz w:val="18"/>
          <w:szCs w:val="18"/>
          <w:lang w:val="en-US"/>
        </w:rPr>
        <w:t>Chuen</w:t>
      </w:r>
      <w:proofErr w:type="spellEnd"/>
      <w:r w:rsidRPr="00E6427F">
        <w:rPr>
          <w:rFonts w:ascii="Verdana" w:hAnsi="Verdana"/>
          <w:color w:val="2C2C2E"/>
          <w:sz w:val="18"/>
          <w:szCs w:val="18"/>
          <w:lang w:val="en-US"/>
        </w:rPr>
        <w:t xml:space="preserve"> (Taipei: SMC Publishing Inc.</w:t>
      </w:r>
      <w:proofErr w:type="gramStart"/>
      <w:r w:rsidRPr="00E6427F">
        <w:rPr>
          <w:rFonts w:ascii="Verdana" w:hAnsi="Verdana"/>
          <w:color w:val="2C2C2E"/>
          <w:sz w:val="18"/>
          <w:szCs w:val="18"/>
          <w:lang w:val="en-US"/>
        </w:rPr>
        <w:t>,1990</w:t>
      </w:r>
      <w:proofErr w:type="gramEnd"/>
      <w:r w:rsidRPr="00E6427F">
        <w:rPr>
          <w:rFonts w:ascii="Verdana" w:hAnsi="Verdana"/>
          <w:color w:val="2C2C2E"/>
          <w:sz w:val="18"/>
          <w:szCs w:val="18"/>
          <w:lang w:val="en-US"/>
        </w:rPr>
        <w:t xml:space="preserve">), 145-7. The point being that the Duke of Yu did not suspect an ulterior motive for </w:t>
      </w:r>
      <w:proofErr w:type="spellStart"/>
      <w:r w:rsidRPr="00E6427F">
        <w:rPr>
          <w:rFonts w:ascii="Verdana" w:hAnsi="Verdana"/>
          <w:color w:val="2C2C2E"/>
          <w:sz w:val="18"/>
          <w:szCs w:val="18"/>
          <w:lang w:val="en-US"/>
        </w:rPr>
        <w:t>Jin’s</w:t>
      </w:r>
      <w:proofErr w:type="spellEnd"/>
      <w:r w:rsidRPr="00E6427F">
        <w:rPr>
          <w:rFonts w:ascii="Verdana" w:hAnsi="Verdana"/>
          <w:color w:val="2C2C2E"/>
          <w:sz w:val="18"/>
          <w:szCs w:val="18"/>
          <w:lang w:val="en-US"/>
        </w:rPr>
        <w:t xml:space="preserve"> request for permission to send its army through Yu.]</w:t>
      </w:r>
    </w:p>
  </w:endnote>
  <w:endnote w:id="11">
    <w:p w:rsidR="00723CF2" w:rsidRPr="00E6427F" w:rsidRDefault="00723CF2">
      <w:pPr>
        <w:pStyle w:val="Notedefin"/>
        <w:rPr>
          <w:lang w:val="en-US"/>
        </w:rPr>
      </w:pPr>
      <w:r w:rsidRPr="00E6427F">
        <w:rPr>
          <w:rStyle w:val="Appeldenotedefin"/>
        </w:rPr>
        <w:endnoteRef/>
      </w:r>
      <w:r w:rsidRPr="00E6427F">
        <w:rPr>
          <w:lang w:val="en-US"/>
        </w:rPr>
        <w:t xml:space="preserve"> </w:t>
      </w:r>
      <w:r w:rsidR="006C1739" w:rsidRPr="00E6427F">
        <w:rPr>
          <w:rFonts w:ascii="Verdana" w:hAnsi="Verdana"/>
          <w:color w:val="2C2C2E"/>
          <w:sz w:val="18"/>
          <w:szCs w:val="18"/>
          <w:lang w:val="en-US"/>
        </w:rPr>
        <w:t> </w:t>
      </w:r>
      <w:r w:rsidRPr="00E6427F">
        <w:rPr>
          <w:rFonts w:ascii="Verdana" w:hAnsi="Verdana"/>
          <w:color w:val="2C2C2E"/>
          <w:sz w:val="18"/>
          <w:szCs w:val="18"/>
          <w:lang w:val="en-US"/>
        </w:rPr>
        <w:t>The manuscript reads “</w:t>
      </w:r>
      <w:r w:rsidRPr="00E6427F">
        <w:rPr>
          <w:rFonts w:ascii="Verdana" w:hAnsi="Verdana"/>
          <w:color w:val="2C2C2E"/>
          <w:sz w:val="18"/>
          <w:szCs w:val="18"/>
        </w:rPr>
        <w:t>若諸葛之行丘</w:t>
      </w:r>
      <w:r w:rsidRPr="00E6427F">
        <w:rPr>
          <w:rFonts w:ascii="Verdana" w:hAnsi="Verdana"/>
          <w:color w:val="2C2C2E"/>
          <w:sz w:val="18"/>
          <w:szCs w:val="18"/>
          <w:lang w:val="en-US"/>
        </w:rPr>
        <w:t xml:space="preserve">.” Many read </w:t>
      </w:r>
      <w:r w:rsidRPr="00E6427F">
        <w:rPr>
          <w:rFonts w:ascii="Verdana" w:hAnsi="Verdana"/>
          <w:color w:val="2C2C2E"/>
          <w:sz w:val="18"/>
          <w:szCs w:val="18"/>
        </w:rPr>
        <w:t>丘</w:t>
      </w:r>
      <w:r w:rsidRPr="00E6427F">
        <w:rPr>
          <w:rFonts w:ascii="Verdana" w:hAnsi="Verdana"/>
          <w:color w:val="2C2C2E"/>
          <w:sz w:val="18"/>
          <w:szCs w:val="18"/>
          <w:lang w:val="en-US"/>
        </w:rPr>
        <w:t xml:space="preserve"> as a variant of </w:t>
      </w:r>
      <w:r w:rsidRPr="00E6427F">
        <w:rPr>
          <w:rFonts w:ascii="Verdana" w:hAnsi="Verdana"/>
          <w:color w:val="2C2C2E"/>
          <w:sz w:val="18"/>
          <w:szCs w:val="18"/>
        </w:rPr>
        <w:t>兵</w:t>
      </w:r>
      <w:r w:rsidRPr="00E6427F">
        <w:rPr>
          <w:rFonts w:ascii="Verdana" w:hAnsi="Verdana"/>
          <w:color w:val="2C2C2E"/>
          <w:sz w:val="18"/>
          <w:szCs w:val="18"/>
          <w:lang w:val="en-US"/>
        </w:rPr>
        <w:t xml:space="preserve">, hence “like </w:t>
      </w:r>
      <w:proofErr w:type="spellStart"/>
      <w:r w:rsidRPr="00E6427F">
        <w:rPr>
          <w:rFonts w:ascii="Verdana" w:hAnsi="Verdana"/>
          <w:color w:val="2C2C2E"/>
          <w:sz w:val="18"/>
          <w:szCs w:val="18"/>
          <w:lang w:val="en-US"/>
        </w:rPr>
        <w:t>Zhuge</w:t>
      </w:r>
      <w:proofErr w:type="spellEnd"/>
      <w:r w:rsidRPr="00E6427F">
        <w:rPr>
          <w:rFonts w:ascii="Verdana" w:hAnsi="Verdana"/>
          <w:color w:val="2C2C2E"/>
          <w:sz w:val="18"/>
          <w:szCs w:val="18"/>
          <w:lang w:val="en-US"/>
        </w:rPr>
        <w:t xml:space="preserve"> [Liang’s] use of soldiers.” Cheng argues that, in fact, an obscure meaning of </w:t>
      </w:r>
      <w:r w:rsidRPr="00E6427F">
        <w:rPr>
          <w:rFonts w:ascii="Verdana" w:hAnsi="Verdana"/>
          <w:color w:val="2C2C2E"/>
          <w:sz w:val="18"/>
          <w:szCs w:val="18"/>
        </w:rPr>
        <w:t>丘</w:t>
      </w:r>
      <w:r w:rsidRPr="00E6427F">
        <w:rPr>
          <w:rFonts w:ascii="Verdana" w:hAnsi="Verdana"/>
          <w:color w:val="2C2C2E"/>
          <w:sz w:val="18"/>
          <w:szCs w:val="18"/>
          <w:lang w:val="en-US"/>
        </w:rPr>
        <w:t xml:space="preserve">is “empty,” and that this points to one of the most deceptive and successful strategies employed by </w:t>
      </w:r>
      <w:proofErr w:type="spellStart"/>
      <w:r w:rsidRPr="00E6427F">
        <w:rPr>
          <w:rFonts w:ascii="Verdana" w:hAnsi="Verdana"/>
          <w:color w:val="2C2C2E"/>
          <w:sz w:val="18"/>
          <w:szCs w:val="18"/>
          <w:lang w:val="en-US"/>
        </w:rPr>
        <w:t>Zhuge</w:t>
      </w:r>
      <w:proofErr w:type="spellEnd"/>
      <w:r w:rsidRPr="00E6427F">
        <w:rPr>
          <w:rFonts w:ascii="Verdana" w:hAnsi="Verdana"/>
          <w:color w:val="2C2C2E"/>
          <w:sz w:val="18"/>
          <w:szCs w:val="18"/>
          <w:lang w:val="en-US"/>
        </w:rPr>
        <w:t xml:space="preserve"> Liang in Romance of the Three Kingdoms. </w:t>
      </w:r>
      <w:r w:rsidRPr="00E6427F">
        <w:rPr>
          <w:rFonts w:ascii="Verdana" w:hAnsi="Verdana"/>
          <w:color w:val="2C2C2E"/>
          <w:sz w:val="18"/>
          <w:szCs w:val="18"/>
        </w:rPr>
        <w:t>成恩元</w:t>
      </w:r>
      <w:r w:rsidRPr="00E6427F">
        <w:rPr>
          <w:rFonts w:ascii="Verdana" w:hAnsi="Verdana"/>
          <w:color w:val="2C2C2E"/>
          <w:sz w:val="18"/>
          <w:szCs w:val="18"/>
          <w:lang w:val="en-US"/>
        </w:rPr>
        <w:t xml:space="preserve">, </w:t>
      </w:r>
      <w:r w:rsidRPr="00E6427F">
        <w:rPr>
          <w:rFonts w:ascii="Verdana" w:hAnsi="Verdana"/>
          <w:color w:val="2C2C2E"/>
          <w:sz w:val="18"/>
          <w:szCs w:val="18"/>
        </w:rPr>
        <w:t>敦煌碁</w:t>
      </w:r>
      <w:r w:rsidRPr="00E6427F">
        <w:rPr>
          <w:rFonts w:ascii="SimSun" w:eastAsia="SimSun" w:hAnsi="SimSun" w:cs="SimSun" w:hint="eastAsia"/>
          <w:color w:val="2C2C2E"/>
          <w:sz w:val="18"/>
          <w:szCs w:val="18"/>
        </w:rPr>
        <w:t>经笺证</w:t>
      </w:r>
      <w:r w:rsidRPr="00E6427F">
        <w:rPr>
          <w:rFonts w:ascii="Verdana" w:hAnsi="Verdana"/>
          <w:color w:val="2C2C2E"/>
          <w:sz w:val="18"/>
          <w:szCs w:val="18"/>
          <w:lang w:val="en-US"/>
        </w:rPr>
        <w:t xml:space="preserve"> /</w:t>
      </w:r>
      <w:proofErr w:type="spellStart"/>
      <w:r w:rsidRPr="00E6427F">
        <w:rPr>
          <w:rFonts w:ascii="Verdana" w:hAnsi="Verdana"/>
          <w:color w:val="2C2C2E"/>
          <w:sz w:val="18"/>
          <w:szCs w:val="18"/>
          <w:lang w:val="en-US"/>
        </w:rPr>
        <w:t>Dunhuang</w:t>
      </w:r>
      <w:proofErr w:type="spellEnd"/>
      <w:r w:rsidRPr="00E6427F">
        <w:rPr>
          <w:rFonts w:ascii="Verdana" w:hAnsi="Verdana"/>
          <w:color w:val="2C2C2E"/>
          <w:sz w:val="18"/>
          <w:szCs w:val="18"/>
          <w:lang w:val="en-US"/>
        </w:rPr>
        <w:t xml:space="preserve"> Qi Jing Jian Zheng, 79-80. In one instance when his army was routed, </w:t>
      </w:r>
      <w:proofErr w:type="spellStart"/>
      <w:r w:rsidRPr="00E6427F">
        <w:rPr>
          <w:rFonts w:ascii="Verdana" w:hAnsi="Verdana"/>
          <w:color w:val="2C2C2E"/>
          <w:sz w:val="18"/>
          <w:szCs w:val="18"/>
          <w:lang w:val="en-US"/>
        </w:rPr>
        <w:t>Zhuge</w:t>
      </w:r>
      <w:proofErr w:type="spellEnd"/>
      <w:r w:rsidRPr="00E6427F">
        <w:rPr>
          <w:rFonts w:ascii="Verdana" w:hAnsi="Verdana"/>
          <w:color w:val="2C2C2E"/>
          <w:sz w:val="18"/>
          <w:szCs w:val="18"/>
          <w:lang w:val="en-US"/>
        </w:rPr>
        <w:t xml:space="preserve"> Liang knew that the city where he was could not repel an attack. So he sat himself above the city gate, playing the </w:t>
      </w:r>
      <w:proofErr w:type="spellStart"/>
      <w:proofErr w:type="gramStart"/>
      <w:r w:rsidRPr="00E6427F">
        <w:rPr>
          <w:rFonts w:ascii="Verdana" w:hAnsi="Verdana"/>
          <w:color w:val="2C2C2E"/>
          <w:sz w:val="18"/>
          <w:szCs w:val="18"/>
          <w:lang w:val="en-US"/>
        </w:rPr>
        <w:t>qin</w:t>
      </w:r>
      <w:proofErr w:type="spellEnd"/>
      <w:proofErr w:type="gramEnd"/>
      <w:r w:rsidRPr="00E6427F">
        <w:rPr>
          <w:rFonts w:ascii="Verdana" w:hAnsi="Verdana"/>
          <w:color w:val="2C2C2E"/>
          <w:sz w:val="18"/>
          <w:szCs w:val="18"/>
          <w:lang w:val="en-US"/>
        </w:rPr>
        <w:t xml:space="preserve">, opened the gates and had peasants leisurely sweeping the streets. When the attack came, the opposing general thought it was a trap, due to </w:t>
      </w:r>
      <w:proofErr w:type="spellStart"/>
      <w:r w:rsidRPr="00E6427F">
        <w:rPr>
          <w:rFonts w:ascii="Verdana" w:hAnsi="Verdana"/>
          <w:color w:val="2C2C2E"/>
          <w:sz w:val="18"/>
          <w:szCs w:val="18"/>
          <w:lang w:val="en-US"/>
        </w:rPr>
        <w:t>Zhuge’s</w:t>
      </w:r>
      <w:proofErr w:type="spellEnd"/>
      <w:r w:rsidRPr="00E6427F">
        <w:rPr>
          <w:rFonts w:ascii="Verdana" w:hAnsi="Verdana"/>
          <w:color w:val="2C2C2E"/>
          <w:sz w:val="18"/>
          <w:szCs w:val="18"/>
          <w:lang w:val="en-US"/>
        </w:rPr>
        <w:t xml:space="preserve"> famed planning, and withdrew. See </w:t>
      </w:r>
      <w:proofErr w:type="spellStart"/>
      <w:r w:rsidRPr="00E6427F">
        <w:rPr>
          <w:rFonts w:ascii="Verdana" w:hAnsi="Verdana"/>
          <w:color w:val="2C2C2E"/>
          <w:sz w:val="18"/>
          <w:szCs w:val="18"/>
          <w:lang w:val="en-US"/>
        </w:rPr>
        <w:t>Guanzhong</w:t>
      </w:r>
      <w:proofErr w:type="spellEnd"/>
      <w:r w:rsidRPr="00E6427F">
        <w:rPr>
          <w:rFonts w:ascii="Verdana" w:hAnsi="Verdana"/>
          <w:color w:val="2C2C2E"/>
          <w:sz w:val="18"/>
          <w:szCs w:val="18"/>
          <w:lang w:val="en-US"/>
        </w:rPr>
        <w:t xml:space="preserve"> Luo, Three </w:t>
      </w:r>
      <w:proofErr w:type="gramStart"/>
      <w:r w:rsidRPr="00E6427F">
        <w:rPr>
          <w:rFonts w:ascii="Verdana" w:hAnsi="Verdana"/>
          <w:color w:val="2C2C2E"/>
          <w:sz w:val="18"/>
          <w:szCs w:val="18"/>
          <w:lang w:val="en-US"/>
        </w:rPr>
        <w:t>Kingdoms :</w:t>
      </w:r>
      <w:proofErr w:type="gramEnd"/>
      <w:r w:rsidRPr="00E6427F">
        <w:rPr>
          <w:rFonts w:ascii="Verdana" w:hAnsi="Verdana"/>
          <w:color w:val="2C2C2E"/>
          <w:sz w:val="18"/>
          <w:szCs w:val="18"/>
          <w:lang w:val="en-US"/>
        </w:rPr>
        <w:t xml:space="preserve"> China's Epic Drama, trans. Moss Roberts, 1st ed. (New York: Pantheon Books, 1976), 285-89.]</w:t>
      </w:r>
    </w:p>
  </w:endnote>
  <w:endnote w:id="12">
    <w:p w:rsidR="00BF2E41" w:rsidRPr="00E6427F" w:rsidRDefault="00BF2E41">
      <w:pPr>
        <w:pStyle w:val="Notedefin"/>
        <w:rPr>
          <w:lang w:val="en-US"/>
        </w:rPr>
      </w:pPr>
      <w:r w:rsidRPr="00E6427F">
        <w:rPr>
          <w:rStyle w:val="Appeldenotedefin"/>
        </w:rPr>
        <w:endnoteRef/>
      </w:r>
      <w:r w:rsidRPr="00E6427F">
        <w:rPr>
          <w:lang w:val="en-US"/>
        </w:rPr>
        <w:t xml:space="preserve"> </w:t>
      </w:r>
      <w:r w:rsidR="00060F78" w:rsidRPr="00E6427F">
        <w:rPr>
          <w:rFonts w:ascii="Verdana" w:hAnsi="Verdana"/>
          <w:color w:val="2C2C2E"/>
          <w:sz w:val="18"/>
          <w:szCs w:val="18"/>
          <w:lang w:val="en-US"/>
        </w:rPr>
        <w:t>[</w:t>
      </w:r>
      <w:r w:rsidRPr="00E6427F">
        <w:rPr>
          <w:rFonts w:ascii="Verdana" w:hAnsi="Verdana"/>
          <w:color w:val="2C2C2E"/>
          <w:sz w:val="18"/>
          <w:szCs w:val="18"/>
          <w:lang w:val="en-US"/>
        </w:rPr>
        <w:t xml:space="preserve">It is unclear whether the manuscript reads “encirclement” </w:t>
      </w:r>
      <w:r w:rsidRPr="00E6427F">
        <w:rPr>
          <w:rFonts w:ascii="Verdana" w:hAnsi="Verdana"/>
          <w:color w:val="2C2C2E"/>
          <w:sz w:val="18"/>
          <w:szCs w:val="18"/>
        </w:rPr>
        <w:t>圍</w:t>
      </w:r>
      <w:r w:rsidRPr="00E6427F">
        <w:rPr>
          <w:rFonts w:ascii="Verdana" w:hAnsi="Verdana"/>
          <w:color w:val="2C2C2E"/>
          <w:sz w:val="18"/>
          <w:szCs w:val="18"/>
          <w:lang w:val="en-US"/>
        </w:rPr>
        <w:t xml:space="preserve"> or “state” </w:t>
      </w:r>
      <w:r w:rsidRPr="00E6427F">
        <w:rPr>
          <w:rFonts w:ascii="Verdana" w:hAnsi="Verdana"/>
          <w:color w:val="2C2C2E"/>
          <w:sz w:val="18"/>
          <w:szCs w:val="18"/>
        </w:rPr>
        <w:t>國</w:t>
      </w:r>
      <w:r w:rsidRPr="00E6427F">
        <w:rPr>
          <w:rFonts w:ascii="Verdana" w:hAnsi="Verdana"/>
          <w:color w:val="2C2C2E"/>
          <w:sz w:val="18"/>
          <w:szCs w:val="18"/>
          <w:lang w:val="en-US"/>
        </w:rPr>
        <w:t>.]</w:t>
      </w:r>
    </w:p>
  </w:endnote>
  <w:endnote w:id="13">
    <w:p w:rsidR="00BF2E41" w:rsidRPr="00E6427F" w:rsidRDefault="00BF2E41">
      <w:pPr>
        <w:pStyle w:val="Notedefin"/>
        <w:rPr>
          <w:lang w:val="en-US"/>
        </w:rPr>
      </w:pPr>
      <w:r w:rsidRPr="00E6427F">
        <w:rPr>
          <w:rStyle w:val="Appeldenotedefin"/>
        </w:rPr>
        <w:endnoteRef/>
      </w:r>
      <w:r w:rsidRPr="00E6427F">
        <w:rPr>
          <w:lang w:val="en-US"/>
        </w:rPr>
        <w:t xml:space="preserve"> </w:t>
      </w:r>
      <w:r w:rsidR="00060F78" w:rsidRPr="00E6427F">
        <w:rPr>
          <w:rFonts w:ascii="Verdana" w:hAnsi="Verdana"/>
          <w:color w:val="2C2C2E"/>
          <w:sz w:val="18"/>
          <w:szCs w:val="18"/>
          <w:lang w:val="en-US"/>
        </w:rPr>
        <w:t>[</w:t>
      </w:r>
      <w:r w:rsidRPr="00E6427F">
        <w:rPr>
          <w:rFonts w:ascii="Verdana" w:hAnsi="Verdana"/>
          <w:color w:val="2C2C2E"/>
          <w:sz w:val="18"/>
          <w:szCs w:val="18"/>
          <w:lang w:val="en-US"/>
        </w:rPr>
        <w:t>The second chapter of this work is devoted to the ladder strategy (</w:t>
      </w:r>
      <w:r w:rsidRPr="00E6427F">
        <w:rPr>
          <w:rFonts w:ascii="Verdana" w:hAnsi="Verdana"/>
          <w:color w:val="2C2C2E"/>
          <w:sz w:val="18"/>
          <w:szCs w:val="18"/>
        </w:rPr>
        <w:t>征</w:t>
      </w:r>
      <w:r w:rsidRPr="00E6427F">
        <w:rPr>
          <w:rFonts w:ascii="Verdana" w:hAnsi="Verdana"/>
          <w:color w:val="2C2C2E"/>
          <w:sz w:val="18"/>
          <w:szCs w:val="18"/>
          <w:lang w:val="en-US"/>
        </w:rPr>
        <w:t>).] </w:t>
      </w:r>
    </w:p>
  </w:endnote>
  <w:endnote w:id="14">
    <w:p w:rsidR="00BF2E41" w:rsidRPr="00E6427F" w:rsidRDefault="00BF2E41">
      <w:pPr>
        <w:pStyle w:val="Notedefin"/>
        <w:rPr>
          <w:lang w:val="en-US"/>
        </w:rPr>
      </w:pPr>
      <w:r w:rsidRPr="00E6427F">
        <w:rPr>
          <w:rStyle w:val="Appeldenotedefin"/>
        </w:rPr>
        <w:endnoteRef/>
      </w:r>
      <w:r w:rsidRPr="00E6427F">
        <w:rPr>
          <w:lang w:val="en-US"/>
        </w:rPr>
        <w:t xml:space="preserve"> </w:t>
      </w:r>
      <w:r w:rsidR="00060F78" w:rsidRPr="00E6427F">
        <w:rPr>
          <w:rFonts w:ascii="Verdana" w:hAnsi="Verdana"/>
          <w:color w:val="2C2C2E"/>
          <w:sz w:val="18"/>
          <w:szCs w:val="18"/>
          <w:lang w:val="en-US"/>
        </w:rPr>
        <w:t>[</w:t>
      </w:r>
      <w:r w:rsidRPr="00E6427F">
        <w:rPr>
          <w:rFonts w:ascii="Verdana" w:hAnsi="Verdana"/>
          <w:color w:val="2C2C2E"/>
          <w:sz w:val="18"/>
          <w:szCs w:val="18"/>
          <w:lang w:val="en-US"/>
        </w:rPr>
        <w:t xml:space="preserve">Here the Chinese </w:t>
      </w:r>
      <w:r w:rsidRPr="00E6427F">
        <w:rPr>
          <w:rFonts w:ascii="Verdana" w:hAnsi="Verdana"/>
          <w:color w:val="2C2C2E"/>
          <w:sz w:val="18"/>
          <w:szCs w:val="18"/>
        </w:rPr>
        <w:t>先</w:t>
      </w:r>
      <w:r w:rsidRPr="00E6427F">
        <w:rPr>
          <w:rFonts w:ascii="Verdana" w:hAnsi="Verdana"/>
          <w:color w:val="2C2C2E"/>
          <w:sz w:val="18"/>
          <w:szCs w:val="18"/>
          <w:lang w:val="en-US"/>
        </w:rPr>
        <w:t xml:space="preserve"> is the same as the Japanese Go term “</w:t>
      </w:r>
      <w:proofErr w:type="spellStart"/>
      <w:r w:rsidRPr="00E6427F">
        <w:rPr>
          <w:rFonts w:ascii="Verdana" w:hAnsi="Verdana"/>
          <w:color w:val="2C2C2E"/>
          <w:sz w:val="18"/>
          <w:szCs w:val="18"/>
          <w:lang w:val="en-US"/>
        </w:rPr>
        <w:t>sente</w:t>
      </w:r>
      <w:proofErr w:type="spellEnd"/>
      <w:r w:rsidRPr="00E6427F">
        <w:rPr>
          <w:rFonts w:ascii="Verdana" w:hAnsi="Verdana"/>
          <w:color w:val="2C2C2E"/>
          <w:sz w:val="18"/>
          <w:szCs w:val="18"/>
          <w:lang w:val="en-US"/>
        </w:rPr>
        <w:t>,” which could be translated as “upper hand,” or “momentum,” or “advantage.”]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930" w:rsidRDefault="00986930" w:rsidP="00723CF2">
      <w:pPr>
        <w:spacing w:after="0" w:line="240" w:lineRule="auto"/>
      </w:pPr>
      <w:r>
        <w:separator/>
      </w:r>
    </w:p>
  </w:footnote>
  <w:footnote w:type="continuationSeparator" w:id="0">
    <w:p w:rsidR="00986930" w:rsidRDefault="00986930" w:rsidP="00723C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F2"/>
    <w:rsid w:val="00051C2A"/>
    <w:rsid w:val="00055968"/>
    <w:rsid w:val="00060684"/>
    <w:rsid w:val="00060F78"/>
    <w:rsid w:val="001B109C"/>
    <w:rsid w:val="002166D4"/>
    <w:rsid w:val="00290946"/>
    <w:rsid w:val="003B333A"/>
    <w:rsid w:val="003F7B26"/>
    <w:rsid w:val="00500AD7"/>
    <w:rsid w:val="005411FA"/>
    <w:rsid w:val="00574261"/>
    <w:rsid w:val="005F5E45"/>
    <w:rsid w:val="006C1739"/>
    <w:rsid w:val="00710745"/>
    <w:rsid w:val="00723CF2"/>
    <w:rsid w:val="007B2454"/>
    <w:rsid w:val="00986930"/>
    <w:rsid w:val="009F0CB1"/>
    <w:rsid w:val="00A4084B"/>
    <w:rsid w:val="00A53200"/>
    <w:rsid w:val="00B65FF6"/>
    <w:rsid w:val="00BC6383"/>
    <w:rsid w:val="00BF2E41"/>
    <w:rsid w:val="00C5684E"/>
    <w:rsid w:val="00DA46FC"/>
    <w:rsid w:val="00E6427F"/>
    <w:rsid w:val="00EA18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ibit">
    <w:name w:val="bibit"/>
    <w:basedOn w:val="Policepardfaut"/>
    <w:rsid w:val="00723CF2"/>
  </w:style>
  <w:style w:type="paragraph" w:styleId="Notedefin">
    <w:name w:val="endnote text"/>
    <w:basedOn w:val="Normal"/>
    <w:link w:val="NotedefinCar"/>
    <w:uiPriority w:val="99"/>
    <w:semiHidden/>
    <w:unhideWhenUsed/>
    <w:rsid w:val="00723CF2"/>
    <w:pPr>
      <w:spacing w:after="0" w:line="240" w:lineRule="auto"/>
    </w:pPr>
    <w:rPr>
      <w:sz w:val="20"/>
      <w:szCs w:val="20"/>
    </w:rPr>
  </w:style>
  <w:style w:type="character" w:customStyle="1" w:styleId="NotedefinCar">
    <w:name w:val="Note de fin Car"/>
    <w:basedOn w:val="Policepardfaut"/>
    <w:link w:val="Notedefin"/>
    <w:uiPriority w:val="99"/>
    <w:semiHidden/>
    <w:rsid w:val="00723CF2"/>
    <w:rPr>
      <w:sz w:val="20"/>
      <w:szCs w:val="20"/>
    </w:rPr>
  </w:style>
  <w:style w:type="character" w:styleId="Appeldenotedefin">
    <w:name w:val="endnote reference"/>
    <w:basedOn w:val="Policepardfaut"/>
    <w:uiPriority w:val="99"/>
    <w:semiHidden/>
    <w:unhideWhenUsed/>
    <w:rsid w:val="00723CF2"/>
    <w:rPr>
      <w:vertAlign w:val="superscript"/>
    </w:rPr>
  </w:style>
  <w:style w:type="character" w:customStyle="1" w:styleId="smaller">
    <w:name w:val="smaller"/>
    <w:basedOn w:val="Policepardfaut"/>
    <w:rsid w:val="00723CF2"/>
  </w:style>
  <w:style w:type="character" w:styleId="Lienhypertexte">
    <w:name w:val="Hyperlink"/>
    <w:basedOn w:val="Policepardfaut"/>
    <w:uiPriority w:val="99"/>
    <w:semiHidden/>
    <w:unhideWhenUsed/>
    <w:rsid w:val="00051C2A"/>
    <w:rPr>
      <w:color w:val="0000FF"/>
      <w:u w:val="single"/>
    </w:rPr>
  </w:style>
  <w:style w:type="table" w:styleId="Grilledutableau">
    <w:name w:val="Table Grid"/>
    <w:basedOn w:val="TableauNormal"/>
    <w:uiPriority w:val="59"/>
    <w:rsid w:val="00C568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411FA"/>
    <w:pPr>
      <w:spacing w:after="0" w:line="240" w:lineRule="auto"/>
    </w:pPr>
  </w:style>
  <w:style w:type="paragraph" w:styleId="PrformatHTML">
    <w:name w:val="HTML Preformatted"/>
    <w:basedOn w:val="Normal"/>
    <w:link w:val="PrformatHTMLCar"/>
    <w:uiPriority w:val="99"/>
    <w:semiHidden/>
    <w:unhideWhenUsed/>
    <w:rsid w:val="009F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9F0CB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ibit">
    <w:name w:val="bibit"/>
    <w:basedOn w:val="Policepardfaut"/>
    <w:rsid w:val="00723CF2"/>
  </w:style>
  <w:style w:type="paragraph" w:styleId="Notedefin">
    <w:name w:val="endnote text"/>
    <w:basedOn w:val="Normal"/>
    <w:link w:val="NotedefinCar"/>
    <w:uiPriority w:val="99"/>
    <w:semiHidden/>
    <w:unhideWhenUsed/>
    <w:rsid w:val="00723CF2"/>
    <w:pPr>
      <w:spacing w:after="0" w:line="240" w:lineRule="auto"/>
    </w:pPr>
    <w:rPr>
      <w:sz w:val="20"/>
      <w:szCs w:val="20"/>
    </w:rPr>
  </w:style>
  <w:style w:type="character" w:customStyle="1" w:styleId="NotedefinCar">
    <w:name w:val="Note de fin Car"/>
    <w:basedOn w:val="Policepardfaut"/>
    <w:link w:val="Notedefin"/>
    <w:uiPriority w:val="99"/>
    <w:semiHidden/>
    <w:rsid w:val="00723CF2"/>
    <w:rPr>
      <w:sz w:val="20"/>
      <w:szCs w:val="20"/>
    </w:rPr>
  </w:style>
  <w:style w:type="character" w:styleId="Appeldenotedefin">
    <w:name w:val="endnote reference"/>
    <w:basedOn w:val="Policepardfaut"/>
    <w:uiPriority w:val="99"/>
    <w:semiHidden/>
    <w:unhideWhenUsed/>
    <w:rsid w:val="00723CF2"/>
    <w:rPr>
      <w:vertAlign w:val="superscript"/>
    </w:rPr>
  </w:style>
  <w:style w:type="character" w:customStyle="1" w:styleId="smaller">
    <w:name w:val="smaller"/>
    <w:basedOn w:val="Policepardfaut"/>
    <w:rsid w:val="00723CF2"/>
  </w:style>
  <w:style w:type="character" w:styleId="Lienhypertexte">
    <w:name w:val="Hyperlink"/>
    <w:basedOn w:val="Policepardfaut"/>
    <w:uiPriority w:val="99"/>
    <w:semiHidden/>
    <w:unhideWhenUsed/>
    <w:rsid w:val="00051C2A"/>
    <w:rPr>
      <w:color w:val="0000FF"/>
      <w:u w:val="single"/>
    </w:rPr>
  </w:style>
  <w:style w:type="table" w:styleId="Grilledutableau">
    <w:name w:val="Table Grid"/>
    <w:basedOn w:val="TableauNormal"/>
    <w:uiPriority w:val="59"/>
    <w:rsid w:val="00C568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411FA"/>
    <w:pPr>
      <w:spacing w:after="0" w:line="240" w:lineRule="auto"/>
    </w:pPr>
  </w:style>
  <w:style w:type="paragraph" w:styleId="PrformatHTML">
    <w:name w:val="HTML Preformatted"/>
    <w:basedOn w:val="Normal"/>
    <w:link w:val="PrformatHTMLCar"/>
    <w:uiPriority w:val="99"/>
    <w:semiHidden/>
    <w:unhideWhenUsed/>
    <w:rsid w:val="009F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9F0C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3507">
      <w:bodyDiv w:val="1"/>
      <w:marLeft w:val="0"/>
      <w:marRight w:val="0"/>
      <w:marTop w:val="0"/>
      <w:marBottom w:val="0"/>
      <w:divBdr>
        <w:top w:val="none" w:sz="0" w:space="0" w:color="auto"/>
        <w:left w:val="none" w:sz="0" w:space="0" w:color="auto"/>
        <w:bottom w:val="none" w:sz="0" w:space="0" w:color="auto"/>
        <w:right w:val="none" w:sz="0" w:space="0" w:color="auto"/>
      </w:divBdr>
    </w:div>
    <w:div w:id="517234154">
      <w:bodyDiv w:val="1"/>
      <w:marLeft w:val="0"/>
      <w:marRight w:val="0"/>
      <w:marTop w:val="0"/>
      <w:marBottom w:val="0"/>
      <w:divBdr>
        <w:top w:val="none" w:sz="0" w:space="0" w:color="auto"/>
        <w:left w:val="none" w:sz="0" w:space="0" w:color="auto"/>
        <w:bottom w:val="none" w:sz="0" w:space="0" w:color="auto"/>
        <w:right w:val="none" w:sz="0" w:space="0" w:color="auto"/>
      </w:divBdr>
    </w:div>
    <w:div w:id="1570339323">
      <w:bodyDiv w:val="1"/>
      <w:marLeft w:val="0"/>
      <w:marRight w:val="0"/>
      <w:marTop w:val="0"/>
      <w:marBottom w:val="0"/>
      <w:divBdr>
        <w:top w:val="none" w:sz="0" w:space="0" w:color="auto"/>
        <w:left w:val="none" w:sz="0" w:space="0" w:color="auto"/>
        <w:bottom w:val="none" w:sz="0" w:space="0" w:color="auto"/>
        <w:right w:val="none" w:sz="0" w:space="0" w:color="auto"/>
      </w:divBdr>
    </w:div>
    <w:div w:id="1889027416">
      <w:bodyDiv w:val="1"/>
      <w:marLeft w:val="0"/>
      <w:marRight w:val="0"/>
      <w:marTop w:val="0"/>
      <w:marBottom w:val="0"/>
      <w:divBdr>
        <w:top w:val="none" w:sz="0" w:space="0" w:color="auto"/>
        <w:left w:val="none" w:sz="0" w:space="0" w:color="auto"/>
        <w:bottom w:val="none" w:sz="0" w:space="0" w:color="auto"/>
        <w:right w:val="none" w:sz="0" w:space="0" w:color="auto"/>
      </w:divBdr>
    </w:div>
    <w:div w:id="1892300869">
      <w:bodyDiv w:val="1"/>
      <w:marLeft w:val="0"/>
      <w:marRight w:val="0"/>
      <w:marTop w:val="0"/>
      <w:marBottom w:val="0"/>
      <w:divBdr>
        <w:top w:val="none" w:sz="0" w:space="0" w:color="auto"/>
        <w:left w:val="none" w:sz="0" w:space="0" w:color="auto"/>
        <w:bottom w:val="none" w:sz="0" w:space="0" w:color="auto"/>
        <w:right w:val="none" w:sz="0" w:space="0" w:color="auto"/>
      </w:divBdr>
      <w:divsChild>
        <w:div w:id="1355228865">
          <w:marLeft w:val="0"/>
          <w:marRight w:val="0"/>
          <w:marTop w:val="0"/>
          <w:marBottom w:val="15"/>
          <w:divBdr>
            <w:top w:val="none" w:sz="0" w:space="0" w:color="auto"/>
            <w:left w:val="none" w:sz="0" w:space="0" w:color="auto"/>
            <w:bottom w:val="none" w:sz="0" w:space="0" w:color="auto"/>
            <w:right w:val="none" w:sz="0" w:space="0" w:color="auto"/>
          </w:divBdr>
        </w:div>
        <w:div w:id="1105224817">
          <w:marLeft w:val="0"/>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p.bl.uk/database/institute.a4d?id=2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p.bl.uk/database/oo_loader.a4d?pm=Dunhuang%20Mogao&amp;uid=1361229518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6776-7FDD-467D-BC6C-F8FBD640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622</Words>
  <Characters>3422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8</cp:revision>
  <dcterms:created xsi:type="dcterms:W3CDTF">2021-02-19T08:43:00Z</dcterms:created>
  <dcterms:modified xsi:type="dcterms:W3CDTF">2021-02-24T12:08:00Z</dcterms:modified>
</cp:coreProperties>
</file>