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66F" w:rsidRDefault="0026577F">
      <w:r>
        <w:t xml:space="preserve">Hommage à </w:t>
      </w:r>
      <w:r w:rsidR="00E64B6B">
        <w:t>Koichi Masukawa</w:t>
      </w:r>
      <w:r w:rsidR="00E64B6B" w:rsidRPr="00E64B6B">
        <w:rPr>
          <w:rFonts w:ascii="MS Gothic" w:eastAsia="MS Gothic" w:hAnsi="MS Gothic" w:cs="MS Gothic" w:hint="eastAsia"/>
          <w:color w:val="000000"/>
          <w:sz w:val="26"/>
          <w:szCs w:val="26"/>
        </w:rPr>
        <w:t>増川宏一</w:t>
      </w:r>
      <w:r w:rsidR="00E64B6B">
        <w:rPr>
          <w:rFonts w:ascii="MS Gothic" w:eastAsia="MS Gothic" w:hAnsi="MS Gothic" w:cs="MS Gothic"/>
          <w:color w:val="000000"/>
          <w:sz w:val="26"/>
          <w:szCs w:val="26"/>
        </w:rPr>
        <w:t xml:space="preserve"> 1930- 2021 historien des jeux, en  particulier le </w:t>
      </w:r>
      <w:proofErr w:type="spellStart"/>
      <w:r w:rsidR="00E64B6B">
        <w:rPr>
          <w:rFonts w:ascii="MS Gothic" w:eastAsia="MS Gothic" w:hAnsi="MS Gothic" w:cs="MS Gothic"/>
          <w:color w:val="000000"/>
          <w:sz w:val="26"/>
          <w:szCs w:val="26"/>
        </w:rPr>
        <w:t>shogi</w:t>
      </w:r>
      <w:proofErr w:type="spellEnd"/>
      <w:r w:rsidR="00E64B6B">
        <w:rPr>
          <w:rFonts w:ascii="MS Gothic" w:eastAsia="MS Gothic" w:hAnsi="MS Gothic" w:cs="MS Gothic"/>
          <w:color w:val="000000"/>
          <w:sz w:val="26"/>
          <w:szCs w:val="26"/>
        </w:rPr>
        <w:t xml:space="preserve"> et le go.</w:t>
      </w:r>
    </w:p>
    <w:p w:rsidR="00E64B6B" w:rsidRPr="00D85DF7" w:rsidRDefault="00E64B6B" w:rsidP="00E64B6B">
      <w:pPr>
        <w:spacing w:before="168" w:after="168" w:line="240" w:lineRule="auto"/>
        <w:rPr>
          <w:rFonts w:ascii="Arial" w:eastAsia="Times New Roman" w:hAnsi="Arial" w:cs="Arial"/>
          <w:color w:val="000000"/>
          <w:sz w:val="26"/>
          <w:szCs w:val="26"/>
          <w:lang w:val="en-US"/>
        </w:rPr>
      </w:pPr>
      <w:r w:rsidRPr="00E64B6B">
        <w:rPr>
          <w:rFonts w:ascii="Arial" w:eastAsia="Times New Roman" w:hAnsi="Arial" w:cs="Arial"/>
          <w:b/>
          <w:bCs/>
          <w:color w:val="000000"/>
          <w:sz w:val="26"/>
          <w:szCs w:val="26"/>
        </w:rPr>
        <w:t>Masukawa Koichi</w:t>
      </w:r>
      <w:r w:rsidRPr="00E64B6B">
        <w:rPr>
          <w:rFonts w:ascii="Arial" w:eastAsia="Times New Roman" w:hAnsi="Arial" w:cs="Arial"/>
          <w:color w:val="000000"/>
          <w:sz w:val="26"/>
          <w:szCs w:val="26"/>
        </w:rPr>
        <w:t> (</w:t>
      </w:r>
      <w:r w:rsidRPr="00E64B6B">
        <w:rPr>
          <w:rFonts w:ascii="MS Gothic" w:eastAsia="MS Gothic" w:hAnsi="MS Gothic" w:cs="MS Gothic" w:hint="eastAsia"/>
          <w:color w:val="000000"/>
          <w:sz w:val="26"/>
          <w:szCs w:val="26"/>
        </w:rPr>
        <w:t>増川宏一</w:t>
      </w:r>
      <w:r w:rsidRPr="00D85DF7">
        <w:rPr>
          <w:rFonts w:ascii="Arial" w:eastAsia="Times New Roman" w:hAnsi="Arial" w:cs="Arial"/>
          <w:color w:val="000000"/>
          <w:sz w:val="26"/>
          <w:szCs w:val="26"/>
          <w:lang w:val="en-US"/>
        </w:rPr>
        <w:t>) is a leading Japanese expert on the history of games, including </w:t>
      </w:r>
      <w:hyperlink r:id="rId7" w:history="1">
        <w:r w:rsidRPr="00D85DF7">
          <w:rPr>
            <w:rFonts w:ascii="Arial" w:eastAsia="Times New Roman" w:hAnsi="Arial" w:cs="Arial"/>
            <w:color w:val="1828A8"/>
            <w:sz w:val="26"/>
            <w:szCs w:val="26"/>
            <w:u w:val="single"/>
            <w:lang w:val="en-US"/>
          </w:rPr>
          <w:t>Go</w:t>
        </w:r>
      </w:hyperlink>
      <w:r w:rsidRPr="00D85DF7">
        <w:rPr>
          <w:rFonts w:ascii="Arial" w:eastAsia="Times New Roman" w:hAnsi="Arial" w:cs="Arial"/>
          <w:color w:val="000000"/>
          <w:sz w:val="26"/>
          <w:szCs w:val="26"/>
          <w:lang w:val="en-US"/>
        </w:rPr>
        <w:t>, </w:t>
      </w:r>
      <w:hyperlink r:id="rId8" w:history="1">
        <w:r w:rsidRPr="00D85DF7">
          <w:rPr>
            <w:rFonts w:ascii="Arial" w:eastAsia="Times New Roman" w:hAnsi="Arial" w:cs="Arial"/>
            <w:color w:val="1828A8"/>
            <w:sz w:val="26"/>
            <w:szCs w:val="26"/>
            <w:u w:val="single"/>
            <w:lang w:val="en-US"/>
          </w:rPr>
          <w:t>Shogi</w:t>
        </w:r>
      </w:hyperlink>
      <w:r w:rsidRPr="00D85DF7">
        <w:rPr>
          <w:rFonts w:ascii="Arial" w:eastAsia="Times New Roman" w:hAnsi="Arial" w:cs="Arial"/>
          <w:color w:val="000000"/>
          <w:sz w:val="26"/>
          <w:szCs w:val="26"/>
          <w:lang w:val="en-US"/>
        </w:rPr>
        <w:t>, Japanese Backgammon (</w:t>
      </w:r>
      <w:r w:rsidRPr="00D85DF7">
        <w:rPr>
          <w:rFonts w:ascii="Arial" w:eastAsia="Times New Roman" w:hAnsi="Arial" w:cs="Arial"/>
          <w:i/>
          <w:iCs/>
          <w:color w:val="000000"/>
          <w:sz w:val="26"/>
          <w:szCs w:val="26"/>
          <w:lang w:val="en-US"/>
        </w:rPr>
        <w:t>sugoroku</w:t>
      </w:r>
      <w:r w:rsidRPr="00D85DF7">
        <w:rPr>
          <w:rFonts w:ascii="Arial" w:eastAsia="Times New Roman" w:hAnsi="Arial" w:cs="Arial"/>
          <w:color w:val="000000"/>
          <w:sz w:val="26"/>
          <w:szCs w:val="26"/>
          <w:lang w:val="en-US"/>
        </w:rPr>
        <w:t>), and all kinds of gambling.</w:t>
      </w:r>
    </w:p>
    <w:p w:rsidR="00E64B6B" w:rsidRPr="00D85DF7" w:rsidRDefault="00E64B6B" w:rsidP="00E64B6B">
      <w:pPr>
        <w:spacing w:before="168" w:after="168" w:line="240" w:lineRule="auto"/>
        <w:rPr>
          <w:rFonts w:ascii="Arial" w:eastAsia="Times New Roman" w:hAnsi="Arial" w:cs="Arial"/>
          <w:color w:val="000000"/>
          <w:sz w:val="26"/>
          <w:szCs w:val="26"/>
          <w:lang w:val="en-US"/>
        </w:rPr>
      </w:pPr>
      <w:r w:rsidRPr="00D85DF7">
        <w:rPr>
          <w:rFonts w:ascii="Arial" w:eastAsia="Times New Roman" w:hAnsi="Arial" w:cs="Arial"/>
          <w:color w:val="000000"/>
          <w:sz w:val="26"/>
          <w:szCs w:val="26"/>
          <w:lang w:val="en-US"/>
        </w:rPr>
        <w:t>Masukawa is particularly well-versed in the history of </w:t>
      </w:r>
      <w:hyperlink r:id="rId9" w:history="1">
        <w:r w:rsidRPr="00D85DF7">
          <w:rPr>
            <w:rFonts w:ascii="Arial" w:eastAsia="Times New Roman" w:hAnsi="Arial" w:cs="Arial"/>
            <w:color w:val="1828A8"/>
            <w:sz w:val="26"/>
            <w:szCs w:val="26"/>
            <w:u w:val="single"/>
            <w:lang w:val="en-US"/>
          </w:rPr>
          <w:t>Shogi</w:t>
        </w:r>
      </w:hyperlink>
      <w:r w:rsidRPr="00D85DF7">
        <w:rPr>
          <w:rFonts w:ascii="Arial" w:eastAsia="Times New Roman" w:hAnsi="Arial" w:cs="Arial"/>
          <w:color w:val="000000"/>
          <w:sz w:val="26"/>
          <w:szCs w:val="26"/>
          <w:lang w:val="en-US"/>
        </w:rPr>
        <w:t xml:space="preserve">. Published several books on the history of Go, all in Japanese. </w:t>
      </w:r>
      <w:proofErr w:type="gramStart"/>
      <w:r w:rsidRPr="00D85DF7">
        <w:rPr>
          <w:rFonts w:ascii="Arial" w:eastAsia="Times New Roman" w:hAnsi="Arial" w:cs="Arial"/>
          <w:color w:val="000000"/>
          <w:sz w:val="26"/>
          <w:szCs w:val="26"/>
          <w:lang w:val="en-US"/>
        </w:rPr>
        <w:t>Director of the Shogi Museum in Osaka and editor of </w:t>
      </w:r>
      <w:proofErr w:type="spellStart"/>
      <w:r w:rsidRPr="00D85DF7">
        <w:rPr>
          <w:rFonts w:ascii="Arial" w:eastAsia="Times New Roman" w:hAnsi="Arial" w:cs="Arial"/>
          <w:i/>
          <w:iCs/>
          <w:color w:val="000000"/>
          <w:sz w:val="26"/>
          <w:szCs w:val="26"/>
          <w:lang w:val="en-US"/>
        </w:rPr>
        <w:t>Yugishi</w:t>
      </w:r>
      <w:proofErr w:type="spellEnd"/>
      <w:r w:rsidRPr="00D85DF7">
        <w:rPr>
          <w:rFonts w:ascii="Arial" w:eastAsia="Times New Roman" w:hAnsi="Arial" w:cs="Arial"/>
          <w:i/>
          <w:iCs/>
          <w:color w:val="000000"/>
          <w:sz w:val="26"/>
          <w:szCs w:val="26"/>
          <w:lang w:val="en-US"/>
        </w:rPr>
        <w:t xml:space="preserve"> </w:t>
      </w:r>
      <w:proofErr w:type="spellStart"/>
      <w:r w:rsidRPr="00D85DF7">
        <w:rPr>
          <w:rFonts w:ascii="Arial" w:eastAsia="Times New Roman" w:hAnsi="Arial" w:cs="Arial"/>
          <w:i/>
          <w:iCs/>
          <w:color w:val="000000"/>
          <w:sz w:val="26"/>
          <w:szCs w:val="26"/>
          <w:lang w:val="en-US"/>
        </w:rPr>
        <w:t>kenkyu</w:t>
      </w:r>
      <w:proofErr w:type="spellEnd"/>
      <w:r w:rsidRPr="00D85DF7">
        <w:rPr>
          <w:rFonts w:ascii="Arial" w:eastAsia="Times New Roman" w:hAnsi="Arial" w:cs="Arial"/>
          <w:color w:val="000000"/>
          <w:sz w:val="26"/>
          <w:szCs w:val="26"/>
          <w:lang w:val="en-US"/>
        </w:rPr>
        <w:t> (</w:t>
      </w:r>
      <w:r w:rsidRPr="00D85DF7">
        <w:rPr>
          <w:rFonts w:ascii="MS Gothic" w:eastAsia="MS Gothic" w:hAnsi="MS Gothic" w:cs="MS Gothic"/>
          <w:color w:val="000000"/>
          <w:sz w:val="26"/>
          <w:szCs w:val="26"/>
          <w:lang w:val="en-US"/>
        </w:rPr>
        <w:t>遊戯史研究</w:t>
      </w:r>
      <w:r w:rsidRPr="00D85DF7">
        <w:rPr>
          <w:rFonts w:ascii="Arial" w:eastAsia="Times New Roman" w:hAnsi="Arial" w:cs="Arial"/>
          <w:color w:val="000000"/>
          <w:sz w:val="26"/>
          <w:szCs w:val="26"/>
          <w:lang w:val="en-US"/>
        </w:rPr>
        <w:t>), a periodical journal on the history of games.</w:t>
      </w:r>
      <w:proofErr w:type="gramEnd"/>
      <w:r w:rsidRPr="00D85DF7">
        <w:rPr>
          <w:rFonts w:ascii="Arial" w:eastAsia="Times New Roman" w:hAnsi="Arial" w:cs="Arial"/>
          <w:color w:val="000000"/>
          <w:sz w:val="26"/>
          <w:szCs w:val="26"/>
          <w:lang w:val="en-US"/>
        </w:rPr>
        <w:t xml:space="preserve"> He stresses that Go and Shogi </w:t>
      </w:r>
      <w:proofErr w:type="gramStart"/>
      <w:r w:rsidRPr="00D85DF7">
        <w:rPr>
          <w:rFonts w:ascii="Arial" w:eastAsia="Times New Roman" w:hAnsi="Arial" w:cs="Arial"/>
          <w:color w:val="000000"/>
          <w:sz w:val="26"/>
          <w:szCs w:val="26"/>
          <w:lang w:val="en-US"/>
        </w:rPr>
        <w:t>were</w:t>
      </w:r>
      <w:proofErr w:type="gramEnd"/>
      <w:r w:rsidRPr="00D85DF7">
        <w:rPr>
          <w:rFonts w:ascii="Arial" w:eastAsia="Times New Roman" w:hAnsi="Arial" w:cs="Arial"/>
          <w:color w:val="000000"/>
          <w:sz w:val="26"/>
          <w:szCs w:val="26"/>
          <w:lang w:val="en-US"/>
        </w:rPr>
        <w:t xml:space="preserve"> popular due to the fact that they were </w:t>
      </w:r>
      <w:hyperlink r:id="rId10" w:history="1">
        <w:r w:rsidRPr="00D85DF7">
          <w:rPr>
            <w:rFonts w:ascii="Arial" w:eastAsia="Times New Roman" w:hAnsi="Arial" w:cs="Arial"/>
            <w:color w:val="1828A8"/>
            <w:sz w:val="26"/>
            <w:szCs w:val="26"/>
            <w:u w:val="single"/>
            <w:lang w:val="en-US"/>
          </w:rPr>
          <w:t>played for money</w:t>
        </w:r>
      </w:hyperlink>
      <w:r w:rsidRPr="00D85DF7">
        <w:rPr>
          <w:rFonts w:ascii="Arial" w:eastAsia="Times New Roman" w:hAnsi="Arial" w:cs="Arial"/>
          <w:color w:val="000000"/>
          <w:sz w:val="26"/>
          <w:szCs w:val="26"/>
          <w:lang w:val="en-US"/>
        </w:rPr>
        <w:t>, in spite of the strict prohibitions against this practice in Japan.</w:t>
      </w:r>
    </w:p>
    <w:p w:rsidR="00E64B6B" w:rsidRPr="00E64B6B" w:rsidRDefault="00E64B6B" w:rsidP="00E64B6B">
      <w:pPr>
        <w:spacing w:before="168" w:after="168" w:line="240" w:lineRule="auto"/>
        <w:rPr>
          <w:rFonts w:ascii="Arial" w:eastAsia="Times New Roman" w:hAnsi="Arial" w:cs="Arial"/>
          <w:color w:val="000000"/>
          <w:sz w:val="26"/>
          <w:szCs w:val="26"/>
        </w:rPr>
      </w:pPr>
      <w:r w:rsidRPr="00E64B6B">
        <w:rPr>
          <w:rFonts w:ascii="Arial" w:eastAsia="Times New Roman" w:hAnsi="Arial" w:cs="Arial"/>
          <w:color w:val="000000"/>
          <w:sz w:val="26"/>
          <w:szCs w:val="26"/>
        </w:rPr>
        <w:t xml:space="preserve">Go </w:t>
      </w:r>
      <w:proofErr w:type="spellStart"/>
      <w:r w:rsidRPr="00E64B6B">
        <w:rPr>
          <w:rFonts w:ascii="Arial" w:eastAsia="Times New Roman" w:hAnsi="Arial" w:cs="Arial"/>
          <w:color w:val="000000"/>
          <w:sz w:val="26"/>
          <w:szCs w:val="26"/>
        </w:rPr>
        <w:t>related</w:t>
      </w:r>
      <w:proofErr w:type="spellEnd"/>
      <w:r w:rsidRPr="00E64B6B">
        <w:rPr>
          <w:rFonts w:ascii="Arial" w:eastAsia="Times New Roman" w:hAnsi="Arial" w:cs="Arial"/>
          <w:color w:val="000000"/>
          <w:sz w:val="26"/>
          <w:szCs w:val="26"/>
        </w:rPr>
        <w:t xml:space="preserve"> </w:t>
      </w:r>
      <w:proofErr w:type="spellStart"/>
      <w:r w:rsidRPr="00E64B6B">
        <w:rPr>
          <w:rFonts w:ascii="Arial" w:eastAsia="Times New Roman" w:hAnsi="Arial" w:cs="Arial"/>
          <w:color w:val="000000"/>
          <w:sz w:val="26"/>
          <w:szCs w:val="26"/>
        </w:rPr>
        <w:t>Literature</w:t>
      </w:r>
      <w:proofErr w:type="spellEnd"/>
      <w:r w:rsidRPr="00E64B6B">
        <w:rPr>
          <w:rFonts w:ascii="Arial" w:eastAsia="Times New Roman" w:hAnsi="Arial" w:cs="Arial"/>
          <w:color w:val="000000"/>
          <w:sz w:val="26"/>
          <w:szCs w:val="26"/>
        </w:rPr>
        <w:t>:</w:t>
      </w:r>
    </w:p>
    <w:p w:rsidR="00E64B6B" w:rsidRPr="00E64B6B" w:rsidRDefault="00E64B6B" w:rsidP="00E64B6B">
      <w:pPr>
        <w:numPr>
          <w:ilvl w:val="0"/>
          <w:numId w:val="1"/>
        </w:numPr>
        <w:spacing w:before="60" w:after="60" w:line="240" w:lineRule="auto"/>
        <w:rPr>
          <w:rFonts w:ascii="Arial" w:eastAsia="Times New Roman" w:hAnsi="Arial" w:cs="Arial"/>
          <w:color w:val="000000"/>
          <w:sz w:val="26"/>
          <w:szCs w:val="26"/>
        </w:rPr>
      </w:pPr>
      <w:r w:rsidRPr="00E64B6B">
        <w:rPr>
          <w:rFonts w:ascii="Arial" w:eastAsia="Times New Roman" w:hAnsi="Arial" w:cs="Arial"/>
          <w:color w:val="000000"/>
          <w:sz w:val="26"/>
          <w:szCs w:val="26"/>
        </w:rPr>
        <w:t>Masukawa Koichi, </w:t>
      </w:r>
      <w:r w:rsidRPr="00E64B6B">
        <w:rPr>
          <w:rFonts w:ascii="Arial" w:eastAsia="Times New Roman" w:hAnsi="Arial" w:cs="Arial"/>
          <w:i/>
          <w:iCs/>
          <w:color w:val="000000"/>
          <w:sz w:val="26"/>
          <w:szCs w:val="26"/>
        </w:rPr>
        <w:t>Go</w:t>
      </w:r>
      <w:r w:rsidRPr="00E64B6B">
        <w:rPr>
          <w:rFonts w:ascii="Arial" w:eastAsia="Times New Roman" w:hAnsi="Arial" w:cs="Arial"/>
          <w:color w:val="000000"/>
          <w:sz w:val="26"/>
          <w:szCs w:val="26"/>
        </w:rPr>
        <w:t xml:space="preserve">. </w:t>
      </w:r>
      <w:proofErr w:type="spellStart"/>
      <w:r w:rsidRPr="00E64B6B">
        <w:rPr>
          <w:rFonts w:ascii="Arial" w:eastAsia="Times New Roman" w:hAnsi="Arial" w:cs="Arial"/>
          <w:color w:val="000000"/>
          <w:sz w:val="26"/>
          <w:szCs w:val="26"/>
        </w:rPr>
        <w:t>Hosei</w:t>
      </w:r>
      <w:proofErr w:type="spellEnd"/>
      <w:r w:rsidRPr="00E64B6B">
        <w:rPr>
          <w:rFonts w:ascii="Arial" w:eastAsia="Times New Roman" w:hAnsi="Arial" w:cs="Arial"/>
          <w:color w:val="000000"/>
          <w:sz w:val="26"/>
          <w:szCs w:val="26"/>
        </w:rPr>
        <w:t xml:space="preserve"> </w:t>
      </w:r>
      <w:proofErr w:type="spellStart"/>
      <w:r w:rsidRPr="00E64B6B">
        <w:rPr>
          <w:rFonts w:ascii="Arial" w:eastAsia="Times New Roman" w:hAnsi="Arial" w:cs="Arial"/>
          <w:color w:val="000000"/>
          <w:sz w:val="26"/>
          <w:szCs w:val="26"/>
        </w:rPr>
        <w:t>Daigaku</w:t>
      </w:r>
      <w:proofErr w:type="spellEnd"/>
      <w:r w:rsidRPr="00E64B6B">
        <w:rPr>
          <w:rFonts w:ascii="Arial" w:eastAsia="Times New Roman" w:hAnsi="Arial" w:cs="Arial"/>
          <w:color w:val="000000"/>
          <w:sz w:val="26"/>
          <w:szCs w:val="26"/>
        </w:rPr>
        <w:t xml:space="preserve"> </w:t>
      </w:r>
      <w:proofErr w:type="spellStart"/>
      <w:r w:rsidRPr="00E64B6B">
        <w:rPr>
          <w:rFonts w:ascii="Arial" w:eastAsia="Times New Roman" w:hAnsi="Arial" w:cs="Arial"/>
          <w:color w:val="000000"/>
          <w:sz w:val="26"/>
          <w:szCs w:val="26"/>
        </w:rPr>
        <w:t>Shuppankyoku</w:t>
      </w:r>
      <w:proofErr w:type="spellEnd"/>
      <w:r w:rsidRPr="00E64B6B">
        <w:rPr>
          <w:rFonts w:ascii="Arial" w:eastAsia="Times New Roman" w:hAnsi="Arial" w:cs="Arial"/>
          <w:color w:val="000000"/>
          <w:sz w:val="26"/>
          <w:szCs w:val="26"/>
        </w:rPr>
        <w:t xml:space="preserve">, Tokyo, 1987. ISBN 4-588-20591-9 (Jap.) </w:t>
      </w:r>
      <w:r w:rsidRPr="00E64B6B">
        <w:rPr>
          <w:rFonts w:ascii="MS Gothic" w:eastAsia="MS Gothic" w:hAnsi="MS Gothic" w:cs="MS Gothic"/>
          <w:color w:val="000000"/>
          <w:sz w:val="26"/>
          <w:szCs w:val="26"/>
        </w:rPr>
        <w:t>碁</w:t>
      </w:r>
    </w:p>
    <w:p w:rsidR="00E64B6B" w:rsidRPr="00E64B6B" w:rsidRDefault="00E64B6B" w:rsidP="00E64B6B">
      <w:pPr>
        <w:numPr>
          <w:ilvl w:val="0"/>
          <w:numId w:val="1"/>
        </w:numPr>
        <w:spacing w:before="60" w:after="60" w:line="240" w:lineRule="auto"/>
        <w:rPr>
          <w:rFonts w:ascii="Arial" w:eastAsia="Times New Roman" w:hAnsi="Arial" w:cs="Arial"/>
          <w:color w:val="000000"/>
          <w:sz w:val="26"/>
          <w:szCs w:val="26"/>
        </w:rPr>
      </w:pPr>
      <w:r w:rsidRPr="00E64B6B">
        <w:rPr>
          <w:rFonts w:ascii="Arial" w:eastAsia="Times New Roman" w:hAnsi="Arial" w:cs="Arial"/>
          <w:color w:val="000000"/>
          <w:sz w:val="26"/>
          <w:szCs w:val="26"/>
        </w:rPr>
        <w:t>Masukawa Koichi, </w:t>
      </w:r>
      <w:proofErr w:type="spellStart"/>
      <w:r w:rsidRPr="00E64B6B">
        <w:rPr>
          <w:rFonts w:ascii="Arial" w:eastAsia="Times New Roman" w:hAnsi="Arial" w:cs="Arial"/>
          <w:i/>
          <w:iCs/>
          <w:color w:val="000000"/>
          <w:sz w:val="26"/>
          <w:szCs w:val="26"/>
        </w:rPr>
        <w:t>Gouchi</w:t>
      </w:r>
      <w:proofErr w:type="spellEnd"/>
      <w:r w:rsidRPr="00E64B6B">
        <w:rPr>
          <w:rFonts w:ascii="Arial" w:eastAsia="Times New Roman" w:hAnsi="Arial" w:cs="Arial"/>
          <w:i/>
          <w:iCs/>
          <w:color w:val="000000"/>
          <w:sz w:val="26"/>
          <w:szCs w:val="26"/>
        </w:rPr>
        <w:t xml:space="preserve"> </w:t>
      </w:r>
      <w:proofErr w:type="spellStart"/>
      <w:r w:rsidRPr="00E64B6B">
        <w:rPr>
          <w:rFonts w:ascii="Arial" w:eastAsia="Times New Roman" w:hAnsi="Arial" w:cs="Arial"/>
          <w:i/>
          <w:iCs/>
          <w:color w:val="000000"/>
          <w:sz w:val="26"/>
          <w:szCs w:val="26"/>
        </w:rPr>
        <w:t>Shougisashi</w:t>
      </w:r>
      <w:proofErr w:type="spellEnd"/>
      <w:r w:rsidRPr="00E64B6B">
        <w:rPr>
          <w:rFonts w:ascii="Arial" w:eastAsia="Times New Roman" w:hAnsi="Arial" w:cs="Arial"/>
          <w:i/>
          <w:iCs/>
          <w:color w:val="000000"/>
          <w:sz w:val="26"/>
          <w:szCs w:val="26"/>
        </w:rPr>
        <w:t xml:space="preserve"> no </w:t>
      </w:r>
      <w:proofErr w:type="spellStart"/>
      <w:r w:rsidRPr="00E64B6B">
        <w:rPr>
          <w:rFonts w:ascii="Arial" w:eastAsia="Times New Roman" w:hAnsi="Arial" w:cs="Arial"/>
          <w:i/>
          <w:iCs/>
          <w:color w:val="000000"/>
          <w:sz w:val="26"/>
          <w:szCs w:val="26"/>
        </w:rPr>
        <w:t>Tanjou</w:t>
      </w:r>
      <w:proofErr w:type="spellEnd"/>
      <w:r w:rsidRPr="00E64B6B">
        <w:rPr>
          <w:rFonts w:ascii="Arial" w:eastAsia="Times New Roman" w:hAnsi="Arial" w:cs="Arial"/>
          <w:color w:val="000000"/>
          <w:sz w:val="26"/>
          <w:szCs w:val="26"/>
        </w:rPr>
        <w:t xml:space="preserve">. </w:t>
      </w:r>
      <w:proofErr w:type="spellStart"/>
      <w:r w:rsidRPr="00E64B6B">
        <w:rPr>
          <w:rFonts w:ascii="Arial" w:eastAsia="Times New Roman" w:hAnsi="Arial" w:cs="Arial"/>
          <w:color w:val="000000"/>
          <w:sz w:val="26"/>
          <w:szCs w:val="26"/>
        </w:rPr>
        <w:t>Heibonsha</w:t>
      </w:r>
      <w:proofErr w:type="spellEnd"/>
      <w:r w:rsidRPr="00E64B6B">
        <w:rPr>
          <w:rFonts w:ascii="Arial" w:eastAsia="Times New Roman" w:hAnsi="Arial" w:cs="Arial"/>
          <w:color w:val="000000"/>
          <w:sz w:val="26"/>
          <w:szCs w:val="26"/>
        </w:rPr>
        <w:t xml:space="preserve">, Tokyo, 1995. ISBN 978-4582761191 (Jap.) </w:t>
      </w:r>
      <w:r w:rsidRPr="00E64B6B">
        <w:rPr>
          <w:rFonts w:ascii="MS Gothic" w:eastAsia="MS Gothic" w:hAnsi="MS Gothic" w:cs="MS Gothic" w:hint="eastAsia"/>
          <w:color w:val="000000"/>
          <w:sz w:val="26"/>
          <w:szCs w:val="26"/>
        </w:rPr>
        <w:t>碁打ち将棋指しの誕</w:t>
      </w:r>
      <w:r w:rsidRPr="00E64B6B">
        <w:rPr>
          <w:rFonts w:ascii="MS Gothic" w:eastAsia="MS Gothic" w:hAnsi="MS Gothic" w:cs="MS Gothic"/>
          <w:color w:val="000000"/>
          <w:sz w:val="26"/>
          <w:szCs w:val="26"/>
        </w:rPr>
        <w:t>生</w:t>
      </w:r>
    </w:p>
    <w:p w:rsidR="00E64B6B" w:rsidRPr="00E64B6B" w:rsidRDefault="00E64B6B" w:rsidP="00E64B6B">
      <w:pPr>
        <w:numPr>
          <w:ilvl w:val="0"/>
          <w:numId w:val="1"/>
        </w:numPr>
        <w:spacing w:before="60" w:after="60" w:line="240" w:lineRule="auto"/>
        <w:rPr>
          <w:rFonts w:ascii="Arial" w:eastAsia="Times New Roman" w:hAnsi="Arial" w:cs="Arial"/>
          <w:color w:val="000000"/>
          <w:sz w:val="26"/>
          <w:szCs w:val="26"/>
        </w:rPr>
      </w:pPr>
      <w:r w:rsidRPr="00E64B6B">
        <w:rPr>
          <w:rFonts w:ascii="Arial" w:eastAsia="Times New Roman" w:hAnsi="Arial" w:cs="Arial"/>
          <w:color w:val="000000"/>
          <w:sz w:val="26"/>
          <w:szCs w:val="26"/>
        </w:rPr>
        <w:t>Masukawa Koichi, </w:t>
      </w:r>
      <w:proofErr w:type="spellStart"/>
      <w:r w:rsidRPr="00E64B6B">
        <w:rPr>
          <w:rFonts w:ascii="Arial" w:eastAsia="Times New Roman" w:hAnsi="Arial" w:cs="Arial"/>
          <w:i/>
          <w:iCs/>
          <w:color w:val="000000"/>
          <w:sz w:val="26"/>
          <w:szCs w:val="26"/>
        </w:rPr>
        <w:t>Gouchi</w:t>
      </w:r>
      <w:proofErr w:type="spellEnd"/>
      <w:r w:rsidRPr="00E64B6B">
        <w:rPr>
          <w:rFonts w:ascii="Arial" w:eastAsia="Times New Roman" w:hAnsi="Arial" w:cs="Arial"/>
          <w:i/>
          <w:iCs/>
          <w:color w:val="000000"/>
          <w:sz w:val="26"/>
          <w:szCs w:val="26"/>
        </w:rPr>
        <w:t xml:space="preserve"> </w:t>
      </w:r>
      <w:proofErr w:type="spellStart"/>
      <w:r w:rsidRPr="00E64B6B">
        <w:rPr>
          <w:rFonts w:ascii="Arial" w:eastAsia="Times New Roman" w:hAnsi="Arial" w:cs="Arial"/>
          <w:i/>
          <w:iCs/>
          <w:color w:val="000000"/>
          <w:sz w:val="26"/>
          <w:szCs w:val="26"/>
        </w:rPr>
        <w:t>Shougisashi</w:t>
      </w:r>
      <w:proofErr w:type="spellEnd"/>
      <w:r w:rsidRPr="00E64B6B">
        <w:rPr>
          <w:rFonts w:ascii="Arial" w:eastAsia="Times New Roman" w:hAnsi="Arial" w:cs="Arial"/>
          <w:i/>
          <w:iCs/>
          <w:color w:val="000000"/>
          <w:sz w:val="26"/>
          <w:szCs w:val="26"/>
        </w:rPr>
        <w:t xml:space="preserve"> no Edo</w:t>
      </w:r>
      <w:r w:rsidRPr="00E64B6B">
        <w:rPr>
          <w:rFonts w:ascii="Arial" w:eastAsia="Times New Roman" w:hAnsi="Arial" w:cs="Arial"/>
          <w:color w:val="000000"/>
          <w:sz w:val="26"/>
          <w:szCs w:val="26"/>
        </w:rPr>
        <w:t xml:space="preserve">. </w:t>
      </w:r>
      <w:proofErr w:type="spellStart"/>
      <w:r w:rsidRPr="00E64B6B">
        <w:rPr>
          <w:rFonts w:ascii="Arial" w:eastAsia="Times New Roman" w:hAnsi="Arial" w:cs="Arial"/>
          <w:color w:val="000000"/>
          <w:sz w:val="26"/>
          <w:szCs w:val="26"/>
        </w:rPr>
        <w:t>Heibonsha</w:t>
      </w:r>
      <w:proofErr w:type="spellEnd"/>
      <w:r w:rsidRPr="00E64B6B">
        <w:rPr>
          <w:rFonts w:ascii="Arial" w:eastAsia="Times New Roman" w:hAnsi="Arial" w:cs="Arial"/>
          <w:color w:val="000000"/>
          <w:sz w:val="26"/>
          <w:szCs w:val="26"/>
        </w:rPr>
        <w:t xml:space="preserve">, Tokyo, 1998. ISBN 978-4582841800 (Jap.) </w:t>
      </w:r>
      <w:r w:rsidRPr="00E64B6B">
        <w:rPr>
          <w:rFonts w:ascii="MS Gothic" w:eastAsia="MS Gothic" w:hAnsi="MS Gothic" w:cs="MS Gothic" w:hint="eastAsia"/>
          <w:color w:val="000000"/>
          <w:sz w:val="26"/>
          <w:szCs w:val="26"/>
        </w:rPr>
        <w:t>碁打ち将棋指しの江</w:t>
      </w:r>
      <w:r w:rsidRPr="00E64B6B">
        <w:rPr>
          <w:rFonts w:ascii="MS Gothic" w:eastAsia="MS Gothic" w:hAnsi="MS Gothic" w:cs="MS Gothic"/>
          <w:color w:val="000000"/>
          <w:sz w:val="26"/>
          <w:szCs w:val="26"/>
        </w:rPr>
        <w:t>戸</w:t>
      </w:r>
    </w:p>
    <w:p w:rsidR="00E64B6B" w:rsidRPr="00E64B6B" w:rsidRDefault="00E64B6B" w:rsidP="00E64B6B">
      <w:pPr>
        <w:numPr>
          <w:ilvl w:val="0"/>
          <w:numId w:val="1"/>
        </w:numPr>
        <w:spacing w:before="60" w:after="60" w:line="240" w:lineRule="auto"/>
        <w:rPr>
          <w:rFonts w:ascii="Arial" w:eastAsia="Times New Roman" w:hAnsi="Arial" w:cs="Arial"/>
          <w:color w:val="000000"/>
          <w:sz w:val="26"/>
          <w:szCs w:val="26"/>
        </w:rPr>
      </w:pPr>
      <w:r w:rsidRPr="00E64B6B">
        <w:rPr>
          <w:rFonts w:ascii="Arial" w:eastAsia="Times New Roman" w:hAnsi="Arial" w:cs="Arial"/>
          <w:color w:val="000000"/>
          <w:sz w:val="26"/>
          <w:szCs w:val="26"/>
        </w:rPr>
        <w:t xml:space="preserve">Masukawa Koichi, "Der </w:t>
      </w:r>
      <w:proofErr w:type="spellStart"/>
      <w:r w:rsidRPr="00E64B6B">
        <w:rPr>
          <w:rFonts w:ascii="Arial" w:eastAsia="Times New Roman" w:hAnsi="Arial" w:cs="Arial"/>
          <w:color w:val="000000"/>
          <w:sz w:val="26"/>
          <w:szCs w:val="26"/>
        </w:rPr>
        <w:t>Ursprung</w:t>
      </w:r>
      <w:proofErr w:type="spellEnd"/>
      <w:r w:rsidRPr="00E64B6B">
        <w:rPr>
          <w:rFonts w:ascii="Arial" w:eastAsia="Times New Roman" w:hAnsi="Arial" w:cs="Arial"/>
          <w:color w:val="000000"/>
          <w:sz w:val="26"/>
          <w:szCs w:val="26"/>
        </w:rPr>
        <w:t xml:space="preserve"> des </w:t>
      </w:r>
      <w:proofErr w:type="spellStart"/>
      <w:r w:rsidRPr="00E64B6B">
        <w:rPr>
          <w:rFonts w:ascii="Arial" w:eastAsia="Times New Roman" w:hAnsi="Arial" w:cs="Arial"/>
          <w:color w:val="000000"/>
          <w:sz w:val="26"/>
          <w:szCs w:val="26"/>
        </w:rPr>
        <w:t>japanischen</w:t>
      </w:r>
      <w:proofErr w:type="spellEnd"/>
      <w:r w:rsidRPr="00E64B6B">
        <w:rPr>
          <w:rFonts w:ascii="Arial" w:eastAsia="Times New Roman" w:hAnsi="Arial" w:cs="Arial"/>
          <w:color w:val="000000"/>
          <w:sz w:val="26"/>
          <w:szCs w:val="26"/>
        </w:rPr>
        <w:t xml:space="preserve"> </w:t>
      </w:r>
      <w:proofErr w:type="spellStart"/>
      <w:r w:rsidRPr="00E64B6B">
        <w:rPr>
          <w:rFonts w:ascii="Arial" w:eastAsia="Times New Roman" w:hAnsi="Arial" w:cs="Arial"/>
          <w:color w:val="000000"/>
          <w:sz w:val="26"/>
          <w:szCs w:val="26"/>
        </w:rPr>
        <w:t>Schachs</w:t>
      </w:r>
      <w:proofErr w:type="spellEnd"/>
      <w:r w:rsidRPr="00E64B6B">
        <w:rPr>
          <w:rFonts w:ascii="Arial" w:eastAsia="Times New Roman" w:hAnsi="Arial" w:cs="Arial"/>
          <w:color w:val="000000"/>
          <w:sz w:val="26"/>
          <w:szCs w:val="26"/>
        </w:rPr>
        <w:t>." In: </w:t>
      </w:r>
      <w:r w:rsidRPr="00E64B6B">
        <w:rPr>
          <w:rFonts w:ascii="Arial" w:eastAsia="Times New Roman" w:hAnsi="Arial" w:cs="Arial"/>
          <w:i/>
          <w:iCs/>
          <w:color w:val="000000"/>
          <w:sz w:val="26"/>
          <w:szCs w:val="26"/>
        </w:rPr>
        <w:t xml:space="preserve">Homo </w:t>
      </w:r>
      <w:proofErr w:type="spellStart"/>
      <w:r w:rsidRPr="00E64B6B">
        <w:rPr>
          <w:rFonts w:ascii="Arial" w:eastAsia="Times New Roman" w:hAnsi="Arial" w:cs="Arial"/>
          <w:i/>
          <w:iCs/>
          <w:color w:val="000000"/>
          <w:sz w:val="26"/>
          <w:szCs w:val="26"/>
        </w:rPr>
        <w:t>ludens</w:t>
      </w:r>
      <w:proofErr w:type="spellEnd"/>
      <w:r w:rsidRPr="00E64B6B">
        <w:rPr>
          <w:rFonts w:ascii="Arial" w:eastAsia="Times New Roman" w:hAnsi="Arial" w:cs="Arial"/>
          <w:color w:val="000000"/>
          <w:sz w:val="26"/>
          <w:szCs w:val="26"/>
        </w:rPr>
        <w:t> 4, 1995. (</w:t>
      </w:r>
      <w:proofErr w:type="spellStart"/>
      <w:r w:rsidRPr="00E64B6B">
        <w:rPr>
          <w:rFonts w:ascii="Arial" w:eastAsia="Times New Roman" w:hAnsi="Arial" w:cs="Arial"/>
          <w:color w:val="000000"/>
          <w:sz w:val="26"/>
          <w:szCs w:val="26"/>
        </w:rPr>
        <w:t>Ger</w:t>
      </w:r>
      <w:proofErr w:type="spellEnd"/>
      <w:r w:rsidRPr="00E64B6B">
        <w:rPr>
          <w:rFonts w:ascii="Arial" w:eastAsia="Times New Roman" w:hAnsi="Arial" w:cs="Arial"/>
          <w:color w:val="000000"/>
          <w:sz w:val="26"/>
          <w:szCs w:val="26"/>
        </w:rPr>
        <w:t>.)</w:t>
      </w:r>
    </w:p>
    <w:p w:rsidR="00E64B6B" w:rsidRPr="00E64B6B" w:rsidRDefault="00E64B6B" w:rsidP="00E64B6B">
      <w:pPr>
        <w:spacing w:before="168" w:after="168" w:line="240" w:lineRule="auto"/>
        <w:rPr>
          <w:rFonts w:ascii="Arial" w:eastAsia="Times New Roman" w:hAnsi="Arial" w:cs="Arial"/>
          <w:color w:val="000000"/>
          <w:sz w:val="26"/>
          <w:szCs w:val="26"/>
        </w:rPr>
      </w:pPr>
      <w:proofErr w:type="spellStart"/>
      <w:r w:rsidRPr="00E64B6B">
        <w:rPr>
          <w:rFonts w:ascii="Arial" w:eastAsia="Times New Roman" w:hAnsi="Arial" w:cs="Arial"/>
          <w:color w:val="000000"/>
          <w:sz w:val="26"/>
          <w:szCs w:val="26"/>
        </w:rPr>
        <w:t>Essays</w:t>
      </w:r>
      <w:proofErr w:type="spellEnd"/>
      <w:r w:rsidRPr="00E64B6B">
        <w:rPr>
          <w:rFonts w:ascii="Arial" w:eastAsia="Times New Roman" w:hAnsi="Arial" w:cs="Arial"/>
          <w:color w:val="000000"/>
          <w:sz w:val="26"/>
          <w:szCs w:val="26"/>
        </w:rPr>
        <w:t xml:space="preserve"> in English:</w:t>
      </w:r>
    </w:p>
    <w:p w:rsidR="00E64B6B" w:rsidRPr="00E64B6B" w:rsidRDefault="000A18E8" w:rsidP="00E64B6B">
      <w:pPr>
        <w:numPr>
          <w:ilvl w:val="0"/>
          <w:numId w:val="2"/>
        </w:numPr>
        <w:spacing w:before="60" w:after="60" w:line="240" w:lineRule="auto"/>
        <w:rPr>
          <w:rFonts w:ascii="Arial" w:eastAsia="Times New Roman" w:hAnsi="Arial" w:cs="Arial"/>
          <w:color w:val="000000"/>
          <w:sz w:val="26"/>
          <w:szCs w:val="26"/>
        </w:rPr>
      </w:pPr>
      <w:hyperlink r:id="rId11" w:history="1">
        <w:r w:rsidR="00E64B6B">
          <w:rPr>
            <w:rFonts w:ascii="Arial" w:eastAsia="Times New Roman" w:hAnsi="Arial" w:cs="Arial"/>
            <w:noProof/>
            <w:color w:val="1828A8"/>
            <w:sz w:val="26"/>
            <w:szCs w:val="26"/>
          </w:rPr>
          <w:drawing>
            <wp:inline distT="0" distB="0" distL="0" distR="0">
              <wp:extent cx="95250" cy="95250"/>
              <wp:effectExtent l="0" t="0" r="0" b="0"/>
              <wp:docPr id="2" name="Image 2" descr="[ex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64B6B" w:rsidRPr="00E64B6B">
          <w:rPr>
            <w:rFonts w:ascii="Arial" w:eastAsia="Times New Roman" w:hAnsi="Arial" w:cs="Arial"/>
            <w:color w:val="1828A8"/>
            <w:sz w:val="26"/>
            <w:szCs w:val="26"/>
            <w:u w:val="single"/>
          </w:rPr>
          <w:t xml:space="preserve"> The Castle </w:t>
        </w:r>
        <w:proofErr w:type="spellStart"/>
        <w:r w:rsidR="00E64B6B" w:rsidRPr="00E64B6B">
          <w:rPr>
            <w:rFonts w:ascii="Arial" w:eastAsia="Times New Roman" w:hAnsi="Arial" w:cs="Arial"/>
            <w:color w:val="1828A8"/>
            <w:sz w:val="26"/>
            <w:szCs w:val="26"/>
            <w:u w:val="single"/>
          </w:rPr>
          <w:t>Games</w:t>
        </w:r>
        <w:proofErr w:type="spellEnd"/>
        <w:r w:rsidR="00E64B6B" w:rsidRPr="00E64B6B">
          <w:rPr>
            <w:rFonts w:ascii="Arial" w:eastAsia="Times New Roman" w:hAnsi="Arial" w:cs="Arial"/>
            <w:color w:val="1828A8"/>
            <w:sz w:val="26"/>
            <w:szCs w:val="26"/>
            <w:u w:val="single"/>
          </w:rPr>
          <w:t xml:space="preserve"> of the Edo </w:t>
        </w:r>
        <w:proofErr w:type="spellStart"/>
        <w:r w:rsidR="00E64B6B" w:rsidRPr="00E64B6B">
          <w:rPr>
            <w:rFonts w:ascii="Arial" w:eastAsia="Times New Roman" w:hAnsi="Arial" w:cs="Arial"/>
            <w:color w:val="1828A8"/>
            <w:sz w:val="26"/>
            <w:szCs w:val="26"/>
            <w:u w:val="single"/>
          </w:rPr>
          <w:t>Period</w:t>
        </w:r>
        <w:proofErr w:type="spellEnd"/>
        <w:r w:rsidR="00E64B6B" w:rsidRPr="00E64B6B">
          <w:rPr>
            <w:rFonts w:ascii="Arial" w:eastAsia="Times New Roman" w:hAnsi="Arial" w:cs="Arial"/>
            <w:color w:val="1828A8"/>
            <w:sz w:val="26"/>
            <w:szCs w:val="26"/>
            <w:u w:val="single"/>
          </w:rPr>
          <w:t xml:space="preserve"> - An Eye-</w:t>
        </w:r>
        <w:proofErr w:type="spellStart"/>
        <w:r w:rsidR="00E64B6B" w:rsidRPr="00E64B6B">
          <w:rPr>
            <w:rFonts w:ascii="Arial" w:eastAsia="Times New Roman" w:hAnsi="Arial" w:cs="Arial"/>
            <w:color w:val="1828A8"/>
            <w:sz w:val="26"/>
            <w:szCs w:val="26"/>
            <w:u w:val="single"/>
          </w:rPr>
          <w:t>Witness</w:t>
        </w:r>
        <w:proofErr w:type="spellEnd"/>
        <w:r w:rsidR="00E64B6B" w:rsidRPr="00E64B6B">
          <w:rPr>
            <w:rFonts w:ascii="Arial" w:eastAsia="Times New Roman" w:hAnsi="Arial" w:cs="Arial"/>
            <w:color w:val="1828A8"/>
            <w:sz w:val="26"/>
            <w:szCs w:val="26"/>
            <w:u w:val="single"/>
          </w:rPr>
          <w:t xml:space="preserve"> Report</w:t>
        </w:r>
      </w:hyperlink>
      <w:r w:rsidR="00E64B6B" w:rsidRPr="00E64B6B">
        <w:rPr>
          <w:rFonts w:ascii="Arial" w:eastAsia="Times New Roman" w:hAnsi="Arial" w:cs="Arial"/>
          <w:color w:val="000000"/>
          <w:sz w:val="26"/>
          <w:szCs w:val="26"/>
        </w:rPr>
        <w:t> (</w:t>
      </w:r>
      <w:proofErr w:type="spellStart"/>
      <w:r w:rsidR="00E64B6B" w:rsidRPr="00E64B6B">
        <w:rPr>
          <w:rFonts w:ascii="Arial" w:eastAsia="Times New Roman" w:hAnsi="Arial" w:cs="Arial"/>
          <w:color w:val="000000"/>
          <w:sz w:val="26"/>
          <w:szCs w:val="26"/>
        </w:rPr>
        <w:t>Published</w:t>
      </w:r>
      <w:proofErr w:type="spellEnd"/>
      <w:r w:rsidR="00E64B6B" w:rsidRPr="00E64B6B">
        <w:rPr>
          <w:rFonts w:ascii="Arial" w:eastAsia="Times New Roman" w:hAnsi="Arial" w:cs="Arial"/>
          <w:color w:val="000000"/>
          <w:sz w:val="26"/>
          <w:szCs w:val="26"/>
        </w:rPr>
        <w:t xml:space="preserve"> in a </w:t>
      </w:r>
      <w:proofErr w:type="spellStart"/>
      <w:r w:rsidR="00E64B6B" w:rsidRPr="00E64B6B">
        <w:rPr>
          <w:rFonts w:ascii="Arial" w:eastAsia="Times New Roman" w:hAnsi="Arial" w:cs="Arial"/>
          <w:color w:val="000000"/>
          <w:sz w:val="26"/>
          <w:szCs w:val="26"/>
        </w:rPr>
        <w:t>previous</w:t>
      </w:r>
      <w:proofErr w:type="spellEnd"/>
      <w:r w:rsidR="00E64B6B" w:rsidRPr="00E64B6B">
        <w:rPr>
          <w:rFonts w:ascii="Arial" w:eastAsia="Times New Roman" w:hAnsi="Arial" w:cs="Arial"/>
          <w:color w:val="000000"/>
          <w:sz w:val="26"/>
          <w:szCs w:val="26"/>
        </w:rPr>
        <w:t xml:space="preserve"> version </w:t>
      </w:r>
      <w:proofErr w:type="spellStart"/>
      <w:r w:rsidR="00E64B6B" w:rsidRPr="00E64B6B">
        <w:rPr>
          <w:rFonts w:ascii="Arial" w:eastAsia="Times New Roman" w:hAnsi="Arial" w:cs="Arial"/>
          <w:color w:val="000000"/>
          <w:sz w:val="26"/>
          <w:szCs w:val="26"/>
        </w:rPr>
        <w:t>also</w:t>
      </w:r>
      <w:proofErr w:type="spellEnd"/>
      <w:r w:rsidR="00E64B6B" w:rsidRPr="00E64B6B">
        <w:rPr>
          <w:rFonts w:ascii="Arial" w:eastAsia="Times New Roman" w:hAnsi="Arial" w:cs="Arial"/>
          <w:color w:val="000000"/>
          <w:sz w:val="26"/>
          <w:szCs w:val="26"/>
        </w:rPr>
        <w:t xml:space="preserve"> at </w:t>
      </w:r>
      <w:hyperlink r:id="rId13" w:history="1">
        <w:r w:rsidR="00E64B6B">
          <w:rPr>
            <w:rFonts w:ascii="Arial" w:eastAsia="Times New Roman" w:hAnsi="Arial" w:cs="Arial"/>
            <w:noProof/>
            <w:color w:val="1828A8"/>
            <w:sz w:val="26"/>
            <w:szCs w:val="26"/>
          </w:rPr>
          <w:drawing>
            <wp:inline distT="0" distB="0" distL="0" distR="0">
              <wp:extent cx="95250" cy="95250"/>
              <wp:effectExtent l="0" t="0" r="0" b="0"/>
              <wp:docPr id="1" name="Image 1" descr="[ex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
                        <a:hlinkClick r:id="rId1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64B6B" w:rsidRPr="00E64B6B">
          <w:rPr>
            <w:rFonts w:ascii="Arial" w:eastAsia="Times New Roman" w:hAnsi="Arial" w:cs="Arial"/>
            <w:color w:val="1828A8"/>
            <w:sz w:val="26"/>
            <w:szCs w:val="26"/>
            <w:u w:val="single"/>
          </w:rPr>
          <w:t> gobase.org</w:t>
        </w:r>
      </w:hyperlink>
      <w:r w:rsidR="00E64B6B" w:rsidRPr="00E64B6B">
        <w:rPr>
          <w:rFonts w:ascii="Arial" w:eastAsia="Times New Roman" w:hAnsi="Arial" w:cs="Arial"/>
          <w:color w:val="000000"/>
          <w:sz w:val="26"/>
          <w:szCs w:val="26"/>
        </w:rPr>
        <w:t>)</w:t>
      </w:r>
    </w:p>
    <w:p w:rsidR="00E64B6B" w:rsidRDefault="00E64B6B"/>
    <w:p w:rsidR="00E64B6B" w:rsidRDefault="00872CE3">
      <w:pPr>
        <w:rPr>
          <w:rFonts w:ascii="Arial" w:hAnsi="Arial" w:cs="Arial"/>
          <w:sz w:val="26"/>
          <w:szCs w:val="26"/>
        </w:rPr>
      </w:pPr>
      <w:bookmarkStart w:id="0" w:name="_GoBack"/>
      <w:r>
        <w:rPr>
          <w:rFonts w:ascii="Arial" w:hAnsi="Arial" w:cs="Arial"/>
          <w:sz w:val="26"/>
          <w:szCs w:val="26"/>
        </w:rPr>
        <w:t>Jeux de l’humanité</w:t>
      </w:r>
    </w:p>
    <w:p w:rsidR="00584C59" w:rsidRDefault="00584C59">
      <w:pPr>
        <w:rPr>
          <w:rFonts w:ascii="Arial" w:hAnsi="Arial" w:cs="Arial"/>
          <w:sz w:val="26"/>
          <w:szCs w:val="26"/>
        </w:rPr>
      </w:pPr>
      <w:r>
        <w:rPr>
          <w:rFonts w:ascii="Arial" w:hAnsi="Arial" w:cs="Arial"/>
          <w:sz w:val="26"/>
          <w:szCs w:val="26"/>
        </w:rPr>
        <w:t>5000 ans d’histoire culturelle des jeux de société</w:t>
      </w:r>
    </w:p>
    <w:p w:rsidR="00584C59" w:rsidRDefault="00584C59">
      <w:pPr>
        <w:rPr>
          <w:rFonts w:ascii="Arial" w:hAnsi="Arial" w:cs="Arial"/>
          <w:sz w:val="26"/>
          <w:szCs w:val="26"/>
        </w:rPr>
      </w:pPr>
      <w:r>
        <w:rPr>
          <w:rFonts w:ascii="Arial" w:hAnsi="Arial" w:cs="Arial"/>
          <w:sz w:val="26"/>
          <w:szCs w:val="26"/>
        </w:rPr>
        <w:t xml:space="preserve">Edité par Ulrich </w:t>
      </w:r>
      <w:proofErr w:type="spellStart"/>
      <w:r>
        <w:rPr>
          <w:rFonts w:ascii="Arial" w:hAnsi="Arial" w:cs="Arial"/>
          <w:sz w:val="26"/>
          <w:szCs w:val="26"/>
        </w:rPr>
        <w:t>Schädler</w:t>
      </w:r>
      <w:proofErr w:type="spellEnd"/>
      <w:r>
        <w:rPr>
          <w:rFonts w:ascii="Arial" w:hAnsi="Arial" w:cs="Arial"/>
          <w:sz w:val="26"/>
          <w:szCs w:val="26"/>
        </w:rPr>
        <w:t xml:space="preserve"> Editions </w:t>
      </w:r>
      <w:proofErr w:type="spellStart"/>
      <w:r>
        <w:rPr>
          <w:rFonts w:ascii="Arial" w:hAnsi="Arial" w:cs="Arial"/>
          <w:sz w:val="26"/>
          <w:szCs w:val="26"/>
        </w:rPr>
        <w:t>Slatkine</w:t>
      </w:r>
      <w:proofErr w:type="spellEnd"/>
      <w:r>
        <w:rPr>
          <w:rFonts w:ascii="Arial" w:hAnsi="Arial" w:cs="Arial"/>
          <w:sz w:val="26"/>
          <w:szCs w:val="26"/>
        </w:rPr>
        <w:t>, Genève 2007</w:t>
      </w:r>
    </w:p>
    <w:bookmarkEnd w:id="0"/>
    <w:p w:rsidR="00872CE3" w:rsidRPr="00D85DF7" w:rsidRDefault="00872CE3" w:rsidP="00D85DF7">
      <w:pPr>
        <w:jc w:val="center"/>
        <w:rPr>
          <w:rFonts w:ascii="Arial" w:hAnsi="Arial" w:cs="Arial"/>
          <w:sz w:val="32"/>
          <w:szCs w:val="26"/>
        </w:rPr>
      </w:pPr>
      <w:r w:rsidRPr="00D85DF7">
        <w:rPr>
          <w:rFonts w:ascii="Arial" w:hAnsi="Arial" w:cs="Arial"/>
          <w:sz w:val="32"/>
          <w:szCs w:val="26"/>
        </w:rPr>
        <w:t>Jeux traditionnels de l’Asie de l’Est et du Japon</w:t>
      </w:r>
    </w:p>
    <w:p w:rsidR="00872CE3" w:rsidRPr="00D85DF7" w:rsidRDefault="00872CE3" w:rsidP="00872CE3">
      <w:pPr>
        <w:jc w:val="right"/>
        <w:rPr>
          <w:rFonts w:ascii="Arial" w:hAnsi="Arial" w:cs="Arial"/>
          <w:sz w:val="28"/>
          <w:szCs w:val="26"/>
        </w:rPr>
      </w:pPr>
      <w:r w:rsidRPr="00D85DF7">
        <w:rPr>
          <w:rFonts w:ascii="Arial" w:hAnsi="Arial" w:cs="Arial"/>
          <w:sz w:val="28"/>
          <w:szCs w:val="26"/>
        </w:rPr>
        <w:t>Koichi Masukawa</w:t>
      </w:r>
    </w:p>
    <w:p w:rsidR="00872CE3" w:rsidRDefault="00872CE3" w:rsidP="00345538">
      <w:pPr>
        <w:jc w:val="both"/>
        <w:rPr>
          <w:rFonts w:ascii="Arial" w:hAnsi="Arial" w:cs="Arial"/>
          <w:sz w:val="26"/>
          <w:szCs w:val="26"/>
        </w:rPr>
      </w:pPr>
      <w:r>
        <w:rPr>
          <w:rFonts w:ascii="Arial" w:hAnsi="Arial" w:cs="Arial"/>
          <w:sz w:val="26"/>
          <w:szCs w:val="26"/>
        </w:rPr>
        <w:t>L’Asie de l’Est, qui est le berceau de grandes civilisations, est, en ce qui concerne les jeux, un véritable « coffre aux trésors ». La Chine en particulier, a inventé, au cours de sa longue histoire, des jeux qui font partie des plus importantes créations de l’homme dans ce domaine.</w:t>
      </w:r>
    </w:p>
    <w:p w:rsidR="00872CE3" w:rsidRDefault="00872CE3" w:rsidP="00345538">
      <w:pPr>
        <w:jc w:val="both"/>
        <w:rPr>
          <w:rFonts w:ascii="Arial" w:hAnsi="Arial" w:cs="Arial"/>
          <w:sz w:val="26"/>
          <w:szCs w:val="26"/>
        </w:rPr>
      </w:pPr>
      <w:r>
        <w:rPr>
          <w:rFonts w:ascii="Arial" w:hAnsi="Arial" w:cs="Arial"/>
          <w:sz w:val="26"/>
          <w:szCs w:val="26"/>
        </w:rPr>
        <w:lastRenderedPageBreak/>
        <w:t xml:space="preserve">Dans l’ancienne encyclopédie chinoise </w:t>
      </w:r>
      <w:proofErr w:type="spellStart"/>
      <w:r>
        <w:rPr>
          <w:rFonts w:ascii="Arial" w:hAnsi="Arial" w:cs="Arial"/>
          <w:sz w:val="26"/>
          <w:szCs w:val="26"/>
        </w:rPr>
        <w:t>Tai-ping</w:t>
      </w:r>
      <w:proofErr w:type="spellEnd"/>
      <w:r>
        <w:rPr>
          <w:rFonts w:ascii="Arial" w:hAnsi="Arial" w:cs="Arial"/>
          <w:sz w:val="26"/>
          <w:szCs w:val="26"/>
        </w:rPr>
        <w:t xml:space="preserve"> </w:t>
      </w:r>
      <w:proofErr w:type="spellStart"/>
      <w:r>
        <w:rPr>
          <w:rFonts w:ascii="Arial" w:hAnsi="Arial" w:cs="Arial"/>
          <w:sz w:val="26"/>
          <w:szCs w:val="26"/>
        </w:rPr>
        <w:t>yu-lan</w:t>
      </w:r>
      <w:proofErr w:type="spellEnd"/>
      <w:r>
        <w:rPr>
          <w:rFonts w:ascii="Arial" w:hAnsi="Arial" w:cs="Arial"/>
          <w:sz w:val="26"/>
          <w:szCs w:val="26"/>
        </w:rPr>
        <w:t xml:space="preserve"> de 948, on peut lire les descriptions de différents jeux de l’époque, mais malheureusement certaines explications restent incompréhensibles à ce jour. Alors que certains jeux ont été oubliés par manque d’intérêt, d’autres ont été inventés.</w:t>
      </w:r>
    </w:p>
    <w:p w:rsidR="00002E02" w:rsidRDefault="00002E02" w:rsidP="00345538">
      <w:pPr>
        <w:jc w:val="both"/>
        <w:rPr>
          <w:rFonts w:ascii="Arial" w:hAnsi="Arial" w:cs="Arial"/>
          <w:sz w:val="26"/>
          <w:szCs w:val="26"/>
        </w:rPr>
      </w:pPr>
      <w:r>
        <w:rPr>
          <w:rFonts w:ascii="Arial" w:hAnsi="Arial" w:cs="Arial"/>
          <w:sz w:val="26"/>
          <w:szCs w:val="26"/>
        </w:rPr>
        <w:t xml:space="preserve">On peut classer les jeux de l’Asie de l’Est en trois grandes catégories. La première compte les créations typiques de la région, comme les jeux de plateau Liu-Bo, </w:t>
      </w:r>
      <w:r w:rsidRPr="000541BB">
        <w:rPr>
          <w:rFonts w:ascii="Arial" w:hAnsi="Arial" w:cs="Arial"/>
          <w:i/>
          <w:sz w:val="26"/>
          <w:szCs w:val="26"/>
        </w:rPr>
        <w:t>Weiqi</w:t>
      </w:r>
      <w:r>
        <w:rPr>
          <w:rFonts w:ascii="Arial" w:hAnsi="Arial" w:cs="Arial"/>
          <w:sz w:val="26"/>
          <w:szCs w:val="26"/>
        </w:rPr>
        <w:t>(Go), Da-Ma-Tu (un jeu de courses avec 20 pièces par joueur et 3 dés), Fang, le jeu de cartes chinois Ma-Dia-</w:t>
      </w:r>
      <w:proofErr w:type="spellStart"/>
      <w:r>
        <w:rPr>
          <w:rFonts w:ascii="Arial" w:hAnsi="Arial" w:cs="Arial"/>
          <w:sz w:val="26"/>
          <w:szCs w:val="26"/>
        </w:rPr>
        <w:t>Pai</w:t>
      </w:r>
      <w:proofErr w:type="spellEnd"/>
      <w:r>
        <w:rPr>
          <w:rFonts w:ascii="Arial" w:hAnsi="Arial" w:cs="Arial"/>
          <w:sz w:val="26"/>
          <w:szCs w:val="26"/>
        </w:rPr>
        <w:t xml:space="preserve"> (Mah-jong), le jeu de l’oie chinois </w:t>
      </w:r>
      <w:proofErr w:type="spellStart"/>
      <w:r w:rsidRPr="003E76EE">
        <w:rPr>
          <w:rFonts w:ascii="Arial" w:hAnsi="Arial" w:cs="Arial"/>
          <w:i/>
          <w:sz w:val="26"/>
          <w:szCs w:val="26"/>
        </w:rPr>
        <w:t>Shing</w:t>
      </w:r>
      <w:proofErr w:type="spellEnd"/>
      <w:r w:rsidRPr="003E76EE">
        <w:rPr>
          <w:rFonts w:ascii="Arial" w:hAnsi="Arial" w:cs="Arial"/>
          <w:i/>
          <w:sz w:val="26"/>
          <w:szCs w:val="26"/>
        </w:rPr>
        <w:t>-</w:t>
      </w:r>
      <w:proofErr w:type="spellStart"/>
      <w:r w:rsidRPr="003E76EE">
        <w:rPr>
          <w:rFonts w:ascii="Arial" w:hAnsi="Arial" w:cs="Arial"/>
          <w:i/>
          <w:sz w:val="26"/>
          <w:szCs w:val="26"/>
        </w:rPr>
        <w:t>kun</w:t>
      </w:r>
      <w:proofErr w:type="spellEnd"/>
      <w:r w:rsidRPr="003E76EE">
        <w:rPr>
          <w:rFonts w:ascii="Arial" w:hAnsi="Arial" w:cs="Arial"/>
          <w:i/>
          <w:sz w:val="26"/>
          <w:szCs w:val="26"/>
        </w:rPr>
        <w:t>-to</w:t>
      </w:r>
      <w:r>
        <w:rPr>
          <w:rFonts w:ascii="Arial" w:hAnsi="Arial" w:cs="Arial"/>
          <w:sz w:val="26"/>
          <w:szCs w:val="26"/>
        </w:rPr>
        <w:t xml:space="preserve">, le domino chinois </w:t>
      </w:r>
      <w:proofErr w:type="spellStart"/>
      <w:r>
        <w:rPr>
          <w:rFonts w:ascii="Arial" w:hAnsi="Arial" w:cs="Arial"/>
          <w:sz w:val="26"/>
          <w:szCs w:val="26"/>
        </w:rPr>
        <w:t>Pai-jiu</w:t>
      </w:r>
      <w:proofErr w:type="spellEnd"/>
      <w:r>
        <w:rPr>
          <w:rFonts w:ascii="Arial" w:hAnsi="Arial" w:cs="Arial"/>
          <w:sz w:val="26"/>
          <w:szCs w:val="26"/>
        </w:rPr>
        <w:t xml:space="preserve"> et certains jeux de dés chinois. La deuxième catégorie recense les jeux originaires de l’Ouest, qui sont arrivés en Asie de l’Est par la route de la soie, comme le </w:t>
      </w:r>
      <w:r w:rsidRPr="003E76EE">
        <w:rPr>
          <w:rFonts w:ascii="Arial" w:hAnsi="Arial" w:cs="Arial"/>
          <w:i/>
          <w:sz w:val="26"/>
          <w:szCs w:val="26"/>
        </w:rPr>
        <w:t>Shuang-liu</w:t>
      </w:r>
      <w:r>
        <w:rPr>
          <w:rFonts w:ascii="Arial" w:hAnsi="Arial" w:cs="Arial"/>
          <w:sz w:val="26"/>
          <w:szCs w:val="26"/>
        </w:rPr>
        <w:t xml:space="preserve"> (backgammon), les échecs chinois </w:t>
      </w:r>
      <w:r w:rsidRPr="00002E02">
        <w:rPr>
          <w:rFonts w:ascii="Arial" w:hAnsi="Arial" w:cs="Arial"/>
          <w:i/>
          <w:sz w:val="26"/>
          <w:szCs w:val="26"/>
        </w:rPr>
        <w:t>Xiangqi</w:t>
      </w:r>
      <w:r>
        <w:rPr>
          <w:rFonts w:ascii="Arial" w:hAnsi="Arial" w:cs="Arial"/>
          <w:sz w:val="26"/>
          <w:szCs w:val="26"/>
        </w:rPr>
        <w:t>, le polo et l’acrobatie. Quant à la dernière catégorie, elle regroupe les jeux en provenance du su</w:t>
      </w:r>
      <w:r w:rsidR="003E76EE">
        <w:rPr>
          <w:rFonts w:ascii="Arial" w:hAnsi="Arial" w:cs="Arial"/>
          <w:sz w:val="26"/>
          <w:szCs w:val="26"/>
        </w:rPr>
        <w:t xml:space="preserve">d, arrivés dans la région par la route de la soie ou par voie maritime, comme le </w:t>
      </w:r>
      <w:proofErr w:type="spellStart"/>
      <w:r w:rsidR="003E76EE" w:rsidRPr="003E76EE">
        <w:rPr>
          <w:rFonts w:ascii="Arial" w:hAnsi="Arial" w:cs="Arial"/>
          <w:i/>
          <w:sz w:val="26"/>
          <w:szCs w:val="26"/>
        </w:rPr>
        <w:t>shogi</w:t>
      </w:r>
      <w:proofErr w:type="spellEnd"/>
      <w:r w:rsidR="003E76EE">
        <w:rPr>
          <w:rFonts w:ascii="Arial" w:hAnsi="Arial" w:cs="Arial"/>
          <w:sz w:val="26"/>
          <w:szCs w:val="26"/>
        </w:rPr>
        <w:t xml:space="preserve">, jeu d’échecs japonais, les cartes à jouer européennes, ainsi que les différentes variantes du jeu de </w:t>
      </w:r>
      <w:r w:rsidR="003E76EE" w:rsidRPr="003E76EE">
        <w:rPr>
          <w:rFonts w:ascii="Arial" w:hAnsi="Arial" w:cs="Arial"/>
          <w:i/>
          <w:sz w:val="26"/>
          <w:szCs w:val="26"/>
        </w:rPr>
        <w:t>Mancala</w:t>
      </w:r>
      <w:r w:rsidR="003E76EE">
        <w:rPr>
          <w:rFonts w:ascii="Arial" w:hAnsi="Arial" w:cs="Arial"/>
          <w:sz w:val="26"/>
          <w:szCs w:val="26"/>
        </w:rPr>
        <w:t xml:space="preserve"> en Asie du Sud-Est.</w:t>
      </w:r>
    </w:p>
    <w:p w:rsidR="004C0082" w:rsidRPr="004C0082" w:rsidRDefault="004C0082" w:rsidP="00345538">
      <w:pPr>
        <w:jc w:val="both"/>
        <w:rPr>
          <w:rFonts w:ascii="Arial" w:hAnsi="Arial" w:cs="Arial"/>
          <w:sz w:val="26"/>
          <w:szCs w:val="26"/>
        </w:rPr>
      </w:pPr>
      <w:r w:rsidRPr="004C0082">
        <w:rPr>
          <w:rFonts w:ascii="Arial" w:hAnsi="Arial" w:cs="Arial"/>
          <w:sz w:val="26"/>
          <w:szCs w:val="26"/>
        </w:rPr>
        <w:t xml:space="preserve">Nombre des jeux coréens et japonais sont des jeux d'origine chinoise ayant été adaptés à leurs destinataires, tels les échecs coréens. La Corée et le Japon ont toujours développé leurs propres jeux, comme le jeu coréen </w:t>
      </w:r>
      <w:r w:rsidRPr="000541BB">
        <w:rPr>
          <w:rFonts w:ascii="Arial" w:hAnsi="Arial" w:cs="Arial"/>
          <w:i/>
          <w:sz w:val="26"/>
          <w:szCs w:val="26"/>
        </w:rPr>
        <w:t>Nyout</w:t>
      </w:r>
      <w:r w:rsidRPr="004C0082">
        <w:rPr>
          <w:rFonts w:ascii="Arial" w:hAnsi="Arial" w:cs="Arial"/>
          <w:sz w:val="26"/>
          <w:szCs w:val="26"/>
        </w:rPr>
        <w:t xml:space="preserve"> et les jeux japonais </w:t>
      </w:r>
      <w:r w:rsidRPr="00345538">
        <w:rPr>
          <w:rFonts w:ascii="Arial" w:hAnsi="Arial" w:cs="Arial"/>
          <w:i/>
          <w:sz w:val="26"/>
          <w:szCs w:val="26"/>
        </w:rPr>
        <w:t>Kai-Awase</w:t>
      </w:r>
      <w:r w:rsidRPr="004C0082">
        <w:rPr>
          <w:rFonts w:ascii="Arial" w:hAnsi="Arial" w:cs="Arial"/>
          <w:sz w:val="26"/>
          <w:szCs w:val="26"/>
        </w:rPr>
        <w:t xml:space="preserve">, </w:t>
      </w:r>
      <w:r w:rsidRPr="000541BB">
        <w:rPr>
          <w:rFonts w:ascii="Arial" w:hAnsi="Arial" w:cs="Arial"/>
          <w:i/>
          <w:sz w:val="26"/>
          <w:szCs w:val="26"/>
        </w:rPr>
        <w:t>Sugoroku</w:t>
      </w:r>
      <w:r w:rsidRPr="004C0082">
        <w:rPr>
          <w:rFonts w:ascii="Arial" w:hAnsi="Arial" w:cs="Arial"/>
          <w:sz w:val="26"/>
          <w:szCs w:val="26"/>
        </w:rPr>
        <w:t xml:space="preserve">, variante japonaise du jeu de l'oie, le </w:t>
      </w:r>
      <w:r w:rsidRPr="00345538">
        <w:rPr>
          <w:rFonts w:ascii="Arial" w:hAnsi="Arial" w:cs="Arial"/>
          <w:i/>
          <w:sz w:val="26"/>
          <w:szCs w:val="26"/>
        </w:rPr>
        <w:t>Jeu des cent poètes</w:t>
      </w:r>
      <w:r w:rsidRPr="004C0082">
        <w:rPr>
          <w:rFonts w:ascii="Arial" w:hAnsi="Arial" w:cs="Arial"/>
          <w:sz w:val="26"/>
          <w:szCs w:val="26"/>
        </w:rPr>
        <w:t xml:space="preserve"> et certains jeux de dés. </w:t>
      </w:r>
    </w:p>
    <w:p w:rsidR="004C0082" w:rsidRPr="004C0082" w:rsidRDefault="004C0082" w:rsidP="00872CE3">
      <w:pPr>
        <w:rPr>
          <w:rFonts w:ascii="Arial" w:hAnsi="Arial" w:cs="Arial"/>
          <w:sz w:val="26"/>
          <w:szCs w:val="26"/>
        </w:rPr>
      </w:pPr>
      <w:r w:rsidRPr="004C0082">
        <w:rPr>
          <w:rFonts w:ascii="Arial" w:hAnsi="Arial" w:cs="Arial"/>
          <w:sz w:val="26"/>
          <w:szCs w:val="26"/>
        </w:rPr>
        <w:t>LE GO</w:t>
      </w:r>
    </w:p>
    <w:p w:rsidR="000541BB" w:rsidRDefault="004C0082" w:rsidP="000541BB">
      <w:pPr>
        <w:jc w:val="both"/>
        <w:rPr>
          <w:rFonts w:ascii="Arial" w:hAnsi="Arial" w:cs="Arial"/>
          <w:sz w:val="26"/>
          <w:szCs w:val="26"/>
        </w:rPr>
      </w:pPr>
      <w:r w:rsidRPr="004C0082">
        <w:rPr>
          <w:rFonts w:ascii="Arial" w:hAnsi="Arial" w:cs="Arial"/>
          <w:sz w:val="26"/>
          <w:szCs w:val="26"/>
        </w:rPr>
        <w:t xml:space="preserve">Il y a plus de 3000 ans, l'une des grandes civilisations du monde est née entre le Yang Tse et le fleuve Jaune (Huang He). Aujourd'hui encore, les nombreux monuments qu'elle a érigés éveillent curiosité et admiration. Le jeu </w:t>
      </w:r>
      <w:r w:rsidR="000541BB">
        <w:rPr>
          <w:rFonts w:ascii="Arial" w:hAnsi="Arial" w:cs="Arial"/>
          <w:sz w:val="26"/>
          <w:szCs w:val="26"/>
        </w:rPr>
        <w:t xml:space="preserve">aussi </w:t>
      </w:r>
      <w:r w:rsidR="00D85DF7">
        <w:rPr>
          <w:rFonts w:ascii="Arial" w:hAnsi="Arial" w:cs="Arial"/>
          <w:sz w:val="26"/>
          <w:szCs w:val="26"/>
        </w:rPr>
        <w:t>prit</w:t>
      </w:r>
      <w:r w:rsidRPr="004C0082">
        <w:rPr>
          <w:rFonts w:ascii="Arial" w:hAnsi="Arial" w:cs="Arial"/>
          <w:sz w:val="26"/>
          <w:szCs w:val="26"/>
        </w:rPr>
        <w:t xml:space="preserve"> en Chine une grande importance dans la vie quotidienne et, comme ils continuent à le faire aujourd'hui encore, les Chinois développèrent d</w:t>
      </w:r>
      <w:r>
        <w:rPr>
          <w:rFonts w:ascii="Arial" w:hAnsi="Arial" w:cs="Arial"/>
          <w:sz w:val="26"/>
          <w:szCs w:val="26"/>
        </w:rPr>
        <w:t xml:space="preserve">e nombreux jeux. Le </w:t>
      </w:r>
      <w:r w:rsidRPr="000541BB">
        <w:rPr>
          <w:rFonts w:ascii="Arial" w:hAnsi="Arial" w:cs="Arial"/>
          <w:i/>
          <w:sz w:val="26"/>
          <w:szCs w:val="26"/>
        </w:rPr>
        <w:t>Weiqi</w:t>
      </w:r>
      <w:r>
        <w:rPr>
          <w:rFonts w:ascii="Arial" w:hAnsi="Arial" w:cs="Arial"/>
          <w:sz w:val="26"/>
          <w:szCs w:val="26"/>
        </w:rPr>
        <w:t xml:space="preserve"> notam</w:t>
      </w:r>
      <w:r w:rsidRPr="004C0082">
        <w:rPr>
          <w:rFonts w:ascii="Arial" w:hAnsi="Arial" w:cs="Arial"/>
          <w:sz w:val="26"/>
          <w:szCs w:val="26"/>
        </w:rPr>
        <w:t xml:space="preserve">ment, plus connu en Europe sous le nom de Go, est </w:t>
      </w:r>
      <w:r>
        <w:rPr>
          <w:rFonts w:ascii="Arial" w:hAnsi="Arial" w:cs="Arial"/>
          <w:sz w:val="26"/>
          <w:szCs w:val="26"/>
        </w:rPr>
        <w:t>un jeu de plateau d'origine chi</w:t>
      </w:r>
      <w:r w:rsidRPr="004C0082">
        <w:rPr>
          <w:rFonts w:ascii="Arial" w:hAnsi="Arial" w:cs="Arial"/>
          <w:sz w:val="26"/>
          <w:szCs w:val="26"/>
        </w:rPr>
        <w:t>noise. Sur un plateau quadrillé, deux joueurs placent, à tour de rôle un de leur</w:t>
      </w:r>
      <w:r w:rsidR="00160ACC">
        <w:rPr>
          <w:rFonts w:ascii="Arial" w:hAnsi="Arial" w:cs="Arial"/>
          <w:sz w:val="26"/>
          <w:szCs w:val="26"/>
        </w:rPr>
        <w:t xml:space="preserve">s </w:t>
      </w:r>
      <w:r w:rsidR="00160ACC" w:rsidRPr="00160ACC">
        <w:rPr>
          <w:rFonts w:ascii="Arial" w:hAnsi="Arial" w:cs="Arial"/>
          <w:sz w:val="26"/>
          <w:szCs w:val="26"/>
        </w:rPr>
        <w:t>pions (noirs ou blancs), de façon à enfermer le plus grand territoire possible. Les origines exactes de ce jeu sont inconnues, mais il ne fait aucun doute qu'il a été inventé en Chine. Le Go n'est certainement pas aussi ancien que l'antique jeu de plateau</w:t>
      </w:r>
      <w:r w:rsidR="00160ACC">
        <w:rPr>
          <w:rFonts w:ascii="Arial" w:hAnsi="Arial" w:cs="Arial"/>
          <w:sz w:val="26"/>
          <w:szCs w:val="26"/>
        </w:rPr>
        <w:t xml:space="preserve"> chi</w:t>
      </w:r>
      <w:r w:rsidR="00160ACC" w:rsidRPr="00160ACC">
        <w:rPr>
          <w:rFonts w:ascii="Arial" w:hAnsi="Arial" w:cs="Arial"/>
          <w:sz w:val="26"/>
          <w:szCs w:val="26"/>
        </w:rPr>
        <w:t xml:space="preserve">nois </w:t>
      </w:r>
      <w:r w:rsidR="00160ACC" w:rsidRPr="00160ACC">
        <w:rPr>
          <w:rFonts w:ascii="Arial" w:hAnsi="Arial" w:cs="Arial"/>
          <w:i/>
          <w:sz w:val="26"/>
          <w:szCs w:val="26"/>
        </w:rPr>
        <w:t>Liu-</w:t>
      </w:r>
      <w:proofErr w:type="spellStart"/>
      <w:r w:rsidR="00160ACC" w:rsidRPr="00160ACC">
        <w:rPr>
          <w:rFonts w:ascii="Arial" w:hAnsi="Arial" w:cs="Arial"/>
          <w:i/>
          <w:sz w:val="26"/>
          <w:szCs w:val="26"/>
        </w:rPr>
        <w:t>bo</w:t>
      </w:r>
      <w:proofErr w:type="spellEnd"/>
      <w:r w:rsidR="00160ACC" w:rsidRPr="00160ACC">
        <w:rPr>
          <w:rFonts w:ascii="Arial" w:hAnsi="Arial" w:cs="Arial"/>
          <w:sz w:val="26"/>
          <w:szCs w:val="26"/>
        </w:rPr>
        <w:t xml:space="preserve">, mais, comme le laissent présupposer les nombreuses mentions du jeu dans la littérature de l'époque, il devait déjà être très populaire sous la dynastie des Han Orientaux (25-220 après J.-C.). Le plus ancien plateau de Go retrouvé dans son entier a été découvert dans une tombe à Wangdu, dans la province du Hebei (dans l'est de la Chine). Selon les archéologues, le jeu date du </w:t>
      </w:r>
      <w:r w:rsidR="00160ACC">
        <w:rPr>
          <w:rFonts w:ascii="Arial" w:hAnsi="Arial" w:cs="Arial"/>
          <w:sz w:val="26"/>
          <w:szCs w:val="26"/>
        </w:rPr>
        <w:t>III</w:t>
      </w:r>
      <w:r w:rsidR="00160ACC" w:rsidRPr="00160ACC">
        <w:rPr>
          <w:rFonts w:ascii="Arial" w:hAnsi="Arial" w:cs="Arial"/>
          <w:sz w:val="26"/>
          <w:szCs w:val="26"/>
          <w:vertAlign w:val="superscript"/>
        </w:rPr>
        <w:t>e</w:t>
      </w:r>
      <w:r w:rsidR="00160ACC">
        <w:rPr>
          <w:rFonts w:ascii="Arial" w:hAnsi="Arial" w:cs="Arial"/>
          <w:sz w:val="26"/>
          <w:szCs w:val="26"/>
        </w:rPr>
        <w:t xml:space="preserve"> </w:t>
      </w:r>
      <w:r w:rsidR="00160ACC" w:rsidRPr="00160ACC">
        <w:rPr>
          <w:rFonts w:ascii="Arial" w:hAnsi="Arial" w:cs="Arial"/>
          <w:sz w:val="26"/>
          <w:szCs w:val="26"/>
        </w:rPr>
        <w:t xml:space="preserve"> siècle. Le plateau de pierre ne compte que 17 × 17 lignes et non 19 × 19 comme les plateaux actuels, ce qui laisse penser qu'à l'origine le plateau était encore plus petit.</w:t>
      </w:r>
      <w:r w:rsidR="000541BB">
        <w:rPr>
          <w:rFonts w:ascii="Arial" w:hAnsi="Arial" w:cs="Arial"/>
          <w:sz w:val="26"/>
          <w:szCs w:val="26"/>
        </w:rPr>
        <w:t xml:space="preserve"> </w:t>
      </w:r>
    </w:p>
    <w:p w:rsidR="004C0082" w:rsidRDefault="00160ACC" w:rsidP="000541BB">
      <w:pPr>
        <w:jc w:val="both"/>
        <w:rPr>
          <w:rFonts w:ascii="Arial" w:hAnsi="Arial" w:cs="Arial"/>
          <w:sz w:val="26"/>
          <w:szCs w:val="26"/>
        </w:rPr>
      </w:pPr>
      <w:r w:rsidRPr="00160ACC">
        <w:rPr>
          <w:rFonts w:ascii="Arial" w:hAnsi="Arial" w:cs="Arial"/>
          <w:sz w:val="26"/>
          <w:szCs w:val="26"/>
        </w:rPr>
        <w:br/>
      </w:r>
      <w:r>
        <w:rPr>
          <w:rFonts w:ascii="Arial" w:hAnsi="Arial" w:cs="Arial"/>
          <w:sz w:val="26"/>
          <w:szCs w:val="26"/>
        </w:rPr>
        <w:t>Au IV</w:t>
      </w:r>
      <w:r w:rsidRPr="00160ACC">
        <w:rPr>
          <w:rFonts w:ascii="Arial" w:hAnsi="Arial" w:cs="Arial"/>
          <w:sz w:val="26"/>
          <w:szCs w:val="26"/>
          <w:vertAlign w:val="superscript"/>
        </w:rPr>
        <w:t>e</w:t>
      </w:r>
      <w:r w:rsidRPr="00160ACC">
        <w:rPr>
          <w:rFonts w:ascii="Arial" w:hAnsi="Arial" w:cs="Arial"/>
          <w:sz w:val="26"/>
          <w:szCs w:val="26"/>
        </w:rPr>
        <w:t xml:space="preserve"> siècle, le jeu s'était déjà étendu jusq</w:t>
      </w:r>
      <w:r>
        <w:rPr>
          <w:rFonts w:ascii="Arial" w:hAnsi="Arial" w:cs="Arial"/>
          <w:sz w:val="26"/>
          <w:szCs w:val="26"/>
        </w:rPr>
        <w:t>u'à la Corée. Puis, durant le VI</w:t>
      </w:r>
      <w:r w:rsidRPr="00160ACC">
        <w:rPr>
          <w:rFonts w:ascii="Arial" w:hAnsi="Arial" w:cs="Arial"/>
          <w:sz w:val="26"/>
          <w:szCs w:val="26"/>
          <w:vertAlign w:val="superscript"/>
        </w:rPr>
        <w:t>e</w:t>
      </w:r>
      <w:r w:rsidRPr="00160ACC">
        <w:rPr>
          <w:rFonts w:ascii="Arial" w:hAnsi="Arial" w:cs="Arial"/>
          <w:sz w:val="26"/>
          <w:szCs w:val="26"/>
        </w:rPr>
        <w:t xml:space="preserve"> siècle, la pratique du Go continua de se répandre vers l'Ouest, jusqu'à atteindre l'actuelle région ou</w:t>
      </w:r>
      <w:r>
        <w:rPr>
          <w:rFonts w:ascii="Arial" w:hAnsi="Arial" w:cs="Arial"/>
          <w:sz w:val="26"/>
          <w:szCs w:val="26"/>
        </w:rPr>
        <w:t>ï</w:t>
      </w:r>
      <w:r w:rsidRPr="00160ACC">
        <w:rPr>
          <w:rFonts w:ascii="Arial" w:hAnsi="Arial" w:cs="Arial"/>
          <w:sz w:val="26"/>
          <w:szCs w:val="26"/>
        </w:rPr>
        <w:t>goure du Xinjiang. La plus ancienne représentation d'un jeu de Go est une peinture sur soie provenant de la tombe n° 187 d'</w:t>
      </w:r>
      <w:r>
        <w:rPr>
          <w:rFonts w:ascii="Arial" w:hAnsi="Arial" w:cs="Arial"/>
          <w:sz w:val="26"/>
          <w:szCs w:val="26"/>
        </w:rPr>
        <w:t>Astana à Turfan, datant de la dyna</w:t>
      </w:r>
      <w:r w:rsidRPr="00160ACC">
        <w:rPr>
          <w:rFonts w:ascii="Arial" w:hAnsi="Arial" w:cs="Arial"/>
          <w:sz w:val="26"/>
          <w:szCs w:val="26"/>
        </w:rPr>
        <w:t>stie</w:t>
      </w:r>
      <w:r>
        <w:rPr>
          <w:rFonts w:ascii="Arial" w:hAnsi="Arial" w:cs="Arial"/>
          <w:sz w:val="26"/>
          <w:szCs w:val="26"/>
        </w:rPr>
        <w:t xml:space="preserve"> Tang, c'est-à-dire du VII</w:t>
      </w:r>
      <w:r w:rsidRPr="00160ACC">
        <w:rPr>
          <w:rFonts w:ascii="Arial" w:hAnsi="Arial" w:cs="Arial"/>
          <w:sz w:val="26"/>
          <w:szCs w:val="26"/>
          <w:vertAlign w:val="superscript"/>
        </w:rPr>
        <w:t>e</w:t>
      </w:r>
      <w:r>
        <w:rPr>
          <w:rFonts w:ascii="Arial" w:hAnsi="Arial" w:cs="Arial"/>
          <w:sz w:val="26"/>
          <w:szCs w:val="26"/>
        </w:rPr>
        <w:t xml:space="preserve"> s</w:t>
      </w:r>
      <w:r w:rsidRPr="00160ACC">
        <w:rPr>
          <w:rFonts w:ascii="Arial" w:hAnsi="Arial" w:cs="Arial"/>
          <w:sz w:val="26"/>
          <w:szCs w:val="26"/>
        </w:rPr>
        <w:t>iècle. La peinture représente une dame jouant au Go, assise sur un banc. Il est probable qu'autrefois les gens dessinaient simplement le plateau de jeu sur le sol. Sous la dynastie Tang (618-907 après J.-C.), le Go faisait partie des quatre arts du lettré, au même titre que la cal</w:t>
      </w:r>
      <w:r w:rsidR="00C261CE">
        <w:rPr>
          <w:rFonts w:ascii="Arial" w:hAnsi="Arial" w:cs="Arial"/>
          <w:sz w:val="26"/>
          <w:szCs w:val="26"/>
        </w:rPr>
        <w:t>ligraphie, la peinture et la mu</w:t>
      </w:r>
      <w:r w:rsidRPr="00160ACC">
        <w:rPr>
          <w:rFonts w:ascii="Arial" w:hAnsi="Arial" w:cs="Arial"/>
          <w:sz w:val="26"/>
          <w:szCs w:val="26"/>
        </w:rPr>
        <w:t>sique. Il devint ainsi le jeu de plateau le plus estimé de Chine et donna naissance à une littérature très variée, de même qu'à beaucoup de représentations artistiques. Aujourd'hui encore, on joue au Go dans toute la Chine.</w:t>
      </w:r>
      <w:r w:rsidRPr="00160ACC">
        <w:rPr>
          <w:rFonts w:ascii="Arial" w:hAnsi="Arial" w:cs="Arial"/>
          <w:sz w:val="26"/>
          <w:szCs w:val="26"/>
        </w:rPr>
        <w:br/>
        <w:t>Importé directement de Chine ou de Corée, le jeu de Go at</w:t>
      </w:r>
      <w:r w:rsidR="00C261CE">
        <w:rPr>
          <w:rFonts w:ascii="Arial" w:hAnsi="Arial" w:cs="Arial"/>
          <w:sz w:val="26"/>
          <w:szCs w:val="26"/>
        </w:rPr>
        <w:t>teignit le Japon à la fin du VII</w:t>
      </w:r>
      <w:r w:rsidR="00C261CE" w:rsidRPr="00160ACC">
        <w:rPr>
          <w:rFonts w:ascii="Arial" w:hAnsi="Arial" w:cs="Arial"/>
          <w:sz w:val="26"/>
          <w:szCs w:val="26"/>
          <w:vertAlign w:val="superscript"/>
        </w:rPr>
        <w:t>e</w:t>
      </w:r>
      <w:r w:rsidRPr="00160ACC">
        <w:rPr>
          <w:rFonts w:ascii="Arial" w:hAnsi="Arial" w:cs="Arial"/>
          <w:sz w:val="26"/>
          <w:szCs w:val="26"/>
        </w:rPr>
        <w:t xml:space="preserve"> siècle. On a découvert en effet des pions de jeu de Go dans les ruines de Fujiwarakyo, ville impériale de 694 à 710 après J.-C. Il en est par ailleurs fait mention dans une loi </w:t>
      </w:r>
      <w:r w:rsidR="00C261CE" w:rsidRPr="00160ACC">
        <w:rPr>
          <w:rFonts w:ascii="Arial" w:hAnsi="Arial" w:cs="Arial"/>
          <w:sz w:val="26"/>
          <w:szCs w:val="26"/>
        </w:rPr>
        <w:t xml:space="preserve">datant de 701, la loi </w:t>
      </w:r>
      <w:r w:rsidR="00C261CE">
        <w:rPr>
          <w:rFonts w:ascii="Arial" w:hAnsi="Arial" w:cs="Arial"/>
          <w:sz w:val="26"/>
          <w:szCs w:val="26"/>
        </w:rPr>
        <w:t>« </w:t>
      </w:r>
      <w:r w:rsidR="00C261CE" w:rsidRPr="00160ACC">
        <w:rPr>
          <w:rFonts w:ascii="Arial" w:hAnsi="Arial" w:cs="Arial"/>
          <w:sz w:val="26"/>
          <w:szCs w:val="26"/>
        </w:rPr>
        <w:t>Daiho Ritsu-Ryo</w:t>
      </w:r>
      <w:r w:rsidR="00C261CE">
        <w:rPr>
          <w:rFonts w:ascii="Arial" w:hAnsi="Arial" w:cs="Arial"/>
          <w:sz w:val="26"/>
          <w:szCs w:val="26"/>
        </w:rPr>
        <w:t> »</w:t>
      </w:r>
      <w:r w:rsidR="00C261CE" w:rsidRPr="00160ACC">
        <w:rPr>
          <w:rFonts w:ascii="Arial" w:hAnsi="Arial" w:cs="Arial"/>
          <w:sz w:val="26"/>
          <w:szCs w:val="26"/>
        </w:rPr>
        <w:t>, qui interdisait le Go aux moines et aux nonnes, pour les empêcher de se</w:t>
      </w:r>
      <w:r w:rsidR="00C261CE" w:rsidRPr="00160ACC">
        <w:rPr>
          <w:rFonts w:ascii="Arial" w:hAnsi="Arial" w:cs="Arial"/>
          <w:sz w:val="26"/>
          <w:szCs w:val="26"/>
        </w:rPr>
        <w:br/>
      </w:r>
      <w:r w:rsidR="000541BB" w:rsidRPr="00160ACC">
        <w:rPr>
          <w:rFonts w:ascii="Arial" w:hAnsi="Arial" w:cs="Arial"/>
          <w:sz w:val="26"/>
          <w:szCs w:val="26"/>
        </w:rPr>
        <w:t>détourner de leur apprentissage du bouddhisme. C'est dans le Shosoin, temple abritant le trésor national à Nara, que sont</w:t>
      </w:r>
      <w:r w:rsidR="000541BB" w:rsidRPr="000541BB">
        <w:rPr>
          <w:rFonts w:ascii="Arial" w:hAnsi="Arial" w:cs="Arial"/>
          <w:sz w:val="26"/>
          <w:szCs w:val="26"/>
        </w:rPr>
        <w:t xml:space="preserve"> </w:t>
      </w:r>
      <w:r w:rsidR="000541BB" w:rsidRPr="00160ACC">
        <w:rPr>
          <w:rFonts w:ascii="Arial" w:hAnsi="Arial" w:cs="Arial"/>
          <w:sz w:val="26"/>
          <w:szCs w:val="26"/>
        </w:rPr>
        <w:t>conservés les plus anciens et les plus beaux jeux de Go du Japon. Parmi eux</w:t>
      </w:r>
      <w:r w:rsidR="000541BB">
        <w:rPr>
          <w:rFonts w:ascii="Arial" w:hAnsi="Arial" w:cs="Arial"/>
          <w:sz w:val="26"/>
          <w:szCs w:val="26"/>
        </w:rPr>
        <w:t xml:space="preserve"> se trouve </w:t>
      </w:r>
      <w:r w:rsidRPr="00160ACC">
        <w:rPr>
          <w:rFonts w:ascii="Arial" w:hAnsi="Arial" w:cs="Arial"/>
          <w:sz w:val="26"/>
          <w:szCs w:val="26"/>
        </w:rPr>
        <w:t xml:space="preserve">un jeu sur lequel l'empereur Shômu (727-749 après J.-C.) a joué, avec un </w:t>
      </w:r>
      <w:r w:rsidR="000541BB" w:rsidRPr="00160ACC">
        <w:rPr>
          <w:rFonts w:ascii="Arial" w:hAnsi="Arial" w:cs="Arial"/>
          <w:sz w:val="26"/>
          <w:szCs w:val="26"/>
        </w:rPr>
        <w:t>plateau</w:t>
      </w:r>
      <w:r w:rsidRPr="00160ACC">
        <w:rPr>
          <w:rFonts w:ascii="Arial" w:hAnsi="Arial" w:cs="Arial"/>
          <w:sz w:val="26"/>
          <w:szCs w:val="26"/>
        </w:rPr>
        <w:t xml:space="preserve"> déjà pourvu de 19 × 19 lignes. La boite contenant les pions porte une inscrip</w:t>
      </w:r>
      <w:r w:rsidR="000541BB">
        <w:rPr>
          <w:rFonts w:ascii="Arial" w:hAnsi="Arial" w:cs="Arial"/>
          <w:sz w:val="26"/>
          <w:szCs w:val="26"/>
        </w:rPr>
        <w:t xml:space="preserve">tion </w:t>
      </w:r>
      <w:r w:rsidR="000541BB" w:rsidRPr="00160ACC">
        <w:rPr>
          <w:rFonts w:ascii="Arial" w:hAnsi="Arial" w:cs="Arial"/>
          <w:sz w:val="26"/>
          <w:szCs w:val="26"/>
        </w:rPr>
        <w:t xml:space="preserve">révélant que le roi coréen Giji (décédé en </w:t>
      </w:r>
      <w:r w:rsidRPr="00160ACC">
        <w:rPr>
          <w:rFonts w:ascii="Arial" w:hAnsi="Arial" w:cs="Arial"/>
          <w:sz w:val="26"/>
          <w:szCs w:val="26"/>
        </w:rPr>
        <w:t>660) avait offert ces pions à un employé du gouvern</w:t>
      </w:r>
      <w:r w:rsidR="000541BB">
        <w:rPr>
          <w:rFonts w:ascii="Arial" w:hAnsi="Arial" w:cs="Arial"/>
          <w:sz w:val="26"/>
          <w:szCs w:val="26"/>
        </w:rPr>
        <w:t>ement japonais. Sur le beau pla</w:t>
      </w:r>
      <w:r w:rsidRPr="00160ACC">
        <w:rPr>
          <w:rFonts w:ascii="Arial" w:hAnsi="Arial" w:cs="Arial"/>
          <w:sz w:val="26"/>
          <w:szCs w:val="26"/>
        </w:rPr>
        <w:t xml:space="preserve">teau en bois de rose incrusté d'ivoire, 17 points, les </w:t>
      </w:r>
      <w:r w:rsidRPr="000541BB">
        <w:rPr>
          <w:rFonts w:ascii="Arial" w:hAnsi="Arial" w:cs="Arial"/>
          <w:i/>
          <w:sz w:val="26"/>
          <w:szCs w:val="26"/>
        </w:rPr>
        <w:t>seimoku</w:t>
      </w:r>
      <w:r w:rsidRPr="00160ACC">
        <w:rPr>
          <w:rFonts w:ascii="Arial" w:hAnsi="Arial" w:cs="Arial"/>
          <w:sz w:val="26"/>
          <w:szCs w:val="26"/>
        </w:rPr>
        <w:t>, sont mis en évidence, comme c'est généralement le cas sur les plateaux de</w:t>
      </w:r>
      <w:r w:rsidR="000541BB">
        <w:rPr>
          <w:rFonts w:ascii="Arial" w:hAnsi="Arial" w:cs="Arial"/>
          <w:sz w:val="26"/>
          <w:szCs w:val="26"/>
        </w:rPr>
        <w:t xml:space="preserve"> Go coréens. Sur les autres pla</w:t>
      </w:r>
      <w:r w:rsidRPr="00160ACC">
        <w:rPr>
          <w:rFonts w:ascii="Arial" w:hAnsi="Arial" w:cs="Arial"/>
          <w:sz w:val="26"/>
          <w:szCs w:val="26"/>
        </w:rPr>
        <w:t xml:space="preserve">teaux de Go du Shosoin, seuls 9 </w:t>
      </w:r>
      <w:r w:rsidRPr="000541BB">
        <w:rPr>
          <w:rFonts w:ascii="Arial" w:hAnsi="Arial" w:cs="Arial"/>
          <w:i/>
          <w:sz w:val="26"/>
          <w:szCs w:val="26"/>
        </w:rPr>
        <w:t>seimoku</w:t>
      </w:r>
      <w:r w:rsidRPr="00160ACC">
        <w:rPr>
          <w:rFonts w:ascii="Arial" w:hAnsi="Arial" w:cs="Arial"/>
          <w:sz w:val="26"/>
          <w:szCs w:val="26"/>
        </w:rPr>
        <w:t xml:space="preserve"> sont marqués, comme cela se faisait et continue de se faire en Chine. Le </w:t>
      </w:r>
      <w:r w:rsidR="000541BB">
        <w:rPr>
          <w:rFonts w:ascii="Arial" w:hAnsi="Arial" w:cs="Arial"/>
          <w:sz w:val="26"/>
          <w:szCs w:val="26"/>
        </w:rPr>
        <w:t>plateau de jeu de l'empereur Shô</w:t>
      </w:r>
      <w:r w:rsidRPr="00160ACC">
        <w:rPr>
          <w:rFonts w:ascii="Arial" w:hAnsi="Arial" w:cs="Arial"/>
          <w:sz w:val="26"/>
          <w:szCs w:val="26"/>
        </w:rPr>
        <w:t>mu ressemb</w:t>
      </w:r>
      <w:r w:rsidR="000541BB">
        <w:rPr>
          <w:rFonts w:ascii="Arial" w:hAnsi="Arial" w:cs="Arial"/>
          <w:sz w:val="26"/>
          <w:szCs w:val="26"/>
        </w:rPr>
        <w:t>le à un plateau miniature du VII</w:t>
      </w:r>
      <w:r w:rsidR="000541BB" w:rsidRPr="00160ACC">
        <w:rPr>
          <w:rFonts w:ascii="Arial" w:hAnsi="Arial" w:cs="Arial"/>
          <w:sz w:val="26"/>
          <w:szCs w:val="26"/>
          <w:vertAlign w:val="superscript"/>
        </w:rPr>
        <w:t>e</w:t>
      </w:r>
      <w:r w:rsidRPr="00160ACC">
        <w:rPr>
          <w:rFonts w:ascii="Arial" w:hAnsi="Arial" w:cs="Arial"/>
          <w:sz w:val="26"/>
          <w:szCs w:val="26"/>
        </w:rPr>
        <w:t xml:space="preserve"> siècle, découvert dan</w:t>
      </w:r>
      <w:r w:rsidR="000541BB">
        <w:rPr>
          <w:rFonts w:ascii="Arial" w:hAnsi="Arial" w:cs="Arial"/>
          <w:sz w:val="26"/>
          <w:szCs w:val="26"/>
        </w:rPr>
        <w:t>s la tombe nº 206 d'Astana (Tur</w:t>
      </w:r>
      <w:r w:rsidRPr="00160ACC">
        <w:rPr>
          <w:rFonts w:ascii="Arial" w:hAnsi="Arial" w:cs="Arial"/>
          <w:sz w:val="26"/>
          <w:szCs w:val="26"/>
        </w:rPr>
        <w:t>fan). Toutefois, tous les jeux de Go se trouvant dans le temple de Shosoin ne sont pas d'une aussi bonne qualité, car généralement les gens utilisaient un matériel de jeu bien plus modeste. </w:t>
      </w:r>
      <w:r w:rsidR="004C0082" w:rsidRPr="004C0082">
        <w:rPr>
          <w:rFonts w:ascii="Arial" w:hAnsi="Arial" w:cs="Arial"/>
          <w:sz w:val="26"/>
          <w:szCs w:val="26"/>
        </w:rPr>
        <w:t> </w:t>
      </w:r>
    </w:p>
    <w:p w:rsidR="004D249C" w:rsidRDefault="004D249C" w:rsidP="000541BB">
      <w:pPr>
        <w:jc w:val="both"/>
        <w:rPr>
          <w:rFonts w:ascii="Arial" w:hAnsi="Arial" w:cs="Arial"/>
          <w:sz w:val="26"/>
          <w:szCs w:val="26"/>
        </w:rPr>
      </w:pPr>
      <w:r>
        <w:rPr>
          <w:rFonts w:ascii="Arial" w:hAnsi="Arial" w:cs="Arial"/>
          <w:sz w:val="26"/>
          <w:szCs w:val="26"/>
        </w:rPr>
        <w:t>Au Japon, le Go s’était particulièrement répandu chez les nobles, ainsi que dans les milieux religieux et intellectuels en raison de la place qu’il tenait dans la culture chinoise, à savoir parmi les quatre arts du lettré. Dans les journaux intimes de nobles ou d’évêques, de nombreux passages traitaient du jeu de Go. C’est au XV</w:t>
      </w:r>
      <w:r w:rsidRPr="00221376">
        <w:rPr>
          <w:rFonts w:ascii="Arial" w:hAnsi="Arial" w:cs="Arial"/>
          <w:sz w:val="26"/>
          <w:szCs w:val="26"/>
          <w:vertAlign w:val="superscript"/>
        </w:rPr>
        <w:t>e</w:t>
      </w:r>
      <w:r>
        <w:rPr>
          <w:rFonts w:ascii="Arial" w:hAnsi="Arial" w:cs="Arial"/>
          <w:sz w:val="26"/>
          <w:szCs w:val="26"/>
        </w:rPr>
        <w:t xml:space="preserve"> siècle qu’apparurent les premiers joueurs de Go professionnels et que la formation des élèves par des maitres de Go devint partie intégrante de l’enseignement, ce qui fut favorable à l’extension du jeu.</w:t>
      </w:r>
    </w:p>
    <w:p w:rsidR="00221376" w:rsidRPr="00221376" w:rsidRDefault="004D249C" w:rsidP="000541BB">
      <w:pPr>
        <w:jc w:val="both"/>
        <w:rPr>
          <w:rFonts w:ascii="Arial" w:hAnsi="Arial" w:cs="Arial"/>
          <w:sz w:val="26"/>
          <w:szCs w:val="26"/>
        </w:rPr>
      </w:pPr>
      <w:r w:rsidRPr="00221376">
        <w:rPr>
          <w:rFonts w:ascii="Arial" w:hAnsi="Arial" w:cs="Arial"/>
          <w:sz w:val="26"/>
          <w:szCs w:val="26"/>
        </w:rPr>
        <w:t>Plus tard, le Go gagna toutes les classes de la société. Le shogounat des Tokugawa (1603-1868) protégeait et soutenait les familles des maîtres de Go ; la technique du jeu se développa alors jusqu'au plus haut niveau de maîtrise. Lorsque la révolution des Meiji mit fin au régime Tokugawa, puis au système féodal, les familles du Go perdirent leur statut officiel. Le Go continua néanmoins d'être apprécié dans tout le pays. La première fé</w:t>
      </w:r>
      <w:r w:rsidR="00221376" w:rsidRPr="00221376">
        <w:rPr>
          <w:rFonts w:ascii="Arial" w:hAnsi="Arial" w:cs="Arial"/>
          <w:sz w:val="26"/>
          <w:szCs w:val="26"/>
        </w:rPr>
        <w:t xml:space="preserve">dération de Go japonaise, la </w:t>
      </w:r>
      <w:r w:rsidR="00221376" w:rsidRPr="00345538">
        <w:rPr>
          <w:rFonts w:ascii="Arial" w:hAnsi="Arial" w:cs="Arial"/>
          <w:i/>
          <w:sz w:val="26"/>
          <w:szCs w:val="26"/>
        </w:rPr>
        <w:t>Nih</w:t>
      </w:r>
      <w:r w:rsidRPr="00345538">
        <w:rPr>
          <w:rFonts w:ascii="Arial" w:hAnsi="Arial" w:cs="Arial"/>
          <w:i/>
          <w:sz w:val="26"/>
          <w:szCs w:val="26"/>
        </w:rPr>
        <w:t>on Ki-in</w:t>
      </w:r>
      <w:r w:rsidRPr="00221376">
        <w:rPr>
          <w:rFonts w:ascii="Arial" w:hAnsi="Arial" w:cs="Arial"/>
          <w:sz w:val="26"/>
          <w:szCs w:val="26"/>
        </w:rPr>
        <w:t>, fut fondée après la Première Guerre mondiale</w:t>
      </w:r>
      <w:r w:rsidR="00221376" w:rsidRPr="00221376">
        <w:rPr>
          <w:rFonts w:ascii="Arial" w:hAnsi="Arial" w:cs="Arial"/>
          <w:sz w:val="26"/>
          <w:szCs w:val="26"/>
        </w:rPr>
        <w:t xml:space="preserve"> </w:t>
      </w:r>
      <w:r w:rsidRPr="00221376">
        <w:rPr>
          <w:rFonts w:ascii="Arial" w:hAnsi="Arial" w:cs="Arial"/>
          <w:sz w:val="26"/>
          <w:szCs w:val="26"/>
        </w:rPr>
        <w:t>; elle compte parmi s</w:t>
      </w:r>
      <w:r w:rsidR="00221376" w:rsidRPr="00221376">
        <w:rPr>
          <w:rFonts w:ascii="Arial" w:hAnsi="Arial" w:cs="Arial"/>
          <w:sz w:val="26"/>
          <w:szCs w:val="26"/>
        </w:rPr>
        <w:t>es membres quelques joueurs pro</w:t>
      </w:r>
      <w:r w:rsidRPr="00221376">
        <w:rPr>
          <w:rFonts w:ascii="Arial" w:hAnsi="Arial" w:cs="Arial"/>
          <w:sz w:val="26"/>
          <w:szCs w:val="26"/>
        </w:rPr>
        <w:t>fessionnels chinois et coréens.</w:t>
      </w:r>
    </w:p>
    <w:p w:rsidR="00221376" w:rsidRDefault="004D249C" w:rsidP="00221376">
      <w:pPr>
        <w:jc w:val="both"/>
        <w:rPr>
          <w:rFonts w:ascii="Arial" w:hAnsi="Arial" w:cs="Arial"/>
          <w:sz w:val="26"/>
          <w:szCs w:val="26"/>
        </w:rPr>
      </w:pPr>
      <w:r w:rsidRPr="00221376">
        <w:rPr>
          <w:rFonts w:ascii="Arial" w:hAnsi="Arial" w:cs="Arial"/>
          <w:sz w:val="26"/>
          <w:szCs w:val="26"/>
        </w:rPr>
        <w:br/>
        <w:t>Pendant longtemps, le jeu de Go resta inconnu en Europe. Les personnes ayant voyagé en Chine ne le mentionnaient que rarement et quand elles le faisaient, ce n'était que superficiellement. Même Marco Polo ne l'évoqua pas dans ses fameux r</w:t>
      </w:r>
      <w:r w:rsidR="00221376" w:rsidRPr="00221376">
        <w:rPr>
          <w:rFonts w:ascii="Arial" w:hAnsi="Arial" w:cs="Arial"/>
          <w:sz w:val="26"/>
          <w:szCs w:val="26"/>
        </w:rPr>
        <w:t>écits de voyage. A partir du XVIe</w:t>
      </w:r>
      <w:r w:rsidRPr="00221376">
        <w:rPr>
          <w:rFonts w:ascii="Arial" w:hAnsi="Arial" w:cs="Arial"/>
          <w:sz w:val="26"/>
          <w:szCs w:val="26"/>
        </w:rPr>
        <w:t xml:space="preserve"> siècle, les milieux nobles et fortunés d'Europe développèrent un intérêt pour la porcelaine chinoise</w:t>
      </w:r>
      <w:r w:rsidR="00221376" w:rsidRPr="00221376">
        <w:rPr>
          <w:rFonts w:ascii="Arial" w:hAnsi="Arial" w:cs="Arial"/>
          <w:sz w:val="26"/>
          <w:szCs w:val="26"/>
        </w:rPr>
        <w:t xml:space="preserve"> </w:t>
      </w:r>
      <w:r w:rsidRPr="00221376">
        <w:rPr>
          <w:rFonts w:ascii="Arial" w:hAnsi="Arial" w:cs="Arial"/>
          <w:sz w:val="26"/>
          <w:szCs w:val="26"/>
        </w:rPr>
        <w:t xml:space="preserve">; parfois, le jeu de Go se trouvait représenté, avec d'autres arts chinois, sur certaines de ces pièces. </w:t>
      </w:r>
      <w:r w:rsidR="00221376" w:rsidRPr="00221376">
        <w:rPr>
          <w:rFonts w:ascii="Arial" w:hAnsi="Arial" w:cs="Arial"/>
          <w:sz w:val="26"/>
          <w:szCs w:val="26"/>
        </w:rPr>
        <w:t>Toutefois</w:t>
      </w:r>
      <w:r w:rsidRPr="00221376">
        <w:rPr>
          <w:rFonts w:ascii="Arial" w:hAnsi="Arial" w:cs="Arial"/>
          <w:sz w:val="26"/>
          <w:szCs w:val="26"/>
        </w:rPr>
        <w:t xml:space="preserve">, cela ne suffit pas à éveiller la curiosité des Européens qui ne cherchèrent ni à en savoir plus sur ce jeu, ni à apprendre à y jouer. A la fin du </w:t>
      </w:r>
      <w:r w:rsidR="00221376" w:rsidRPr="00221376">
        <w:rPr>
          <w:rFonts w:ascii="Arial" w:hAnsi="Arial" w:cs="Arial"/>
          <w:sz w:val="26"/>
          <w:szCs w:val="26"/>
        </w:rPr>
        <w:t>XVIe</w:t>
      </w:r>
      <w:r w:rsidRPr="00221376">
        <w:rPr>
          <w:rFonts w:ascii="Arial" w:hAnsi="Arial" w:cs="Arial"/>
          <w:sz w:val="26"/>
          <w:szCs w:val="26"/>
        </w:rPr>
        <w:t xml:space="preserve"> siècle, des </w:t>
      </w:r>
      <w:r w:rsidR="00221376" w:rsidRPr="00221376">
        <w:rPr>
          <w:rFonts w:ascii="Arial" w:hAnsi="Arial" w:cs="Arial"/>
          <w:sz w:val="26"/>
          <w:szCs w:val="26"/>
        </w:rPr>
        <w:t>missionnaires</w:t>
      </w:r>
      <w:r w:rsidRPr="00221376">
        <w:rPr>
          <w:rFonts w:ascii="Arial" w:hAnsi="Arial" w:cs="Arial"/>
          <w:sz w:val="26"/>
          <w:szCs w:val="26"/>
        </w:rPr>
        <w:t xml:space="preserve"> chrétiens arrivèrent au Japon et établirent un dictionnaire japonais-portugais en 1602, dans l'intention d'aider la mission chrétienne. Le recueil contenait les termes « Go », « jeu Go», «Shogi » et « plateau de Shogi ». Les échanges commerciaux avec les Pays-Bas durant le XVII</w:t>
      </w:r>
      <w:r w:rsidR="00221376" w:rsidRPr="00221376">
        <w:rPr>
          <w:rFonts w:ascii="Arial" w:hAnsi="Arial" w:cs="Arial"/>
          <w:sz w:val="26"/>
          <w:szCs w:val="26"/>
        </w:rPr>
        <w:t>e</w:t>
      </w:r>
      <w:r w:rsidRPr="00221376">
        <w:rPr>
          <w:rFonts w:ascii="Arial" w:hAnsi="Arial" w:cs="Arial"/>
          <w:sz w:val="26"/>
          <w:szCs w:val="26"/>
        </w:rPr>
        <w:t xml:space="preserve"> siècle ouvrirent de </w:t>
      </w:r>
      <w:r w:rsidR="00221376" w:rsidRPr="00221376">
        <w:rPr>
          <w:rFonts w:ascii="Arial" w:hAnsi="Arial" w:cs="Arial"/>
          <w:sz w:val="26"/>
          <w:szCs w:val="26"/>
        </w:rPr>
        <w:t>nouvelles</w:t>
      </w:r>
      <w:r w:rsidRPr="00221376">
        <w:rPr>
          <w:rFonts w:ascii="Arial" w:hAnsi="Arial" w:cs="Arial"/>
          <w:sz w:val="26"/>
          <w:szCs w:val="26"/>
        </w:rPr>
        <w:t xml:space="preserve"> voies vers l'Europe. Quelques représentants des sociétés commerciales </w:t>
      </w:r>
      <w:r w:rsidR="00221376" w:rsidRPr="00221376">
        <w:rPr>
          <w:rFonts w:ascii="Arial" w:hAnsi="Arial" w:cs="Arial"/>
          <w:sz w:val="26"/>
          <w:szCs w:val="26"/>
        </w:rPr>
        <w:t xml:space="preserve"> hollandaises s'intéressèrent au système social du Japon et à sa culture. Ainsi, le médecin Engelbert Kaempfer, qui vécut au Japon de 1690 à 1692, rédigea, une fois rentré au pays, un livre intitulé </w:t>
      </w:r>
      <w:r w:rsidR="00221376" w:rsidRPr="00221376">
        <w:rPr>
          <w:rFonts w:ascii="Arial" w:hAnsi="Arial" w:cs="Arial"/>
          <w:i/>
          <w:sz w:val="26"/>
          <w:szCs w:val="26"/>
          <w:lang w:val="de-DE"/>
        </w:rPr>
        <w:t>Geschichte und Beschreibung von Japan</w:t>
      </w:r>
      <w:r w:rsidR="00221376">
        <w:rPr>
          <w:rFonts w:ascii="Arial" w:hAnsi="Arial" w:cs="Arial"/>
          <w:sz w:val="26"/>
          <w:szCs w:val="26"/>
        </w:rPr>
        <w:t xml:space="preserve"> (tra</w:t>
      </w:r>
      <w:r w:rsidR="00221376" w:rsidRPr="00221376">
        <w:rPr>
          <w:rFonts w:ascii="Arial" w:hAnsi="Arial" w:cs="Arial"/>
          <w:sz w:val="26"/>
          <w:szCs w:val="26"/>
        </w:rPr>
        <w:t xml:space="preserve">duit en français en 1729 sous le titre </w:t>
      </w:r>
      <w:r w:rsidR="00221376" w:rsidRPr="00221376">
        <w:rPr>
          <w:rFonts w:ascii="Arial" w:hAnsi="Arial" w:cs="Arial"/>
          <w:i/>
          <w:sz w:val="26"/>
          <w:szCs w:val="26"/>
        </w:rPr>
        <w:t>Histoire naturelle, civile, et ecclésiastique de l'Empire du Japon</w:t>
      </w:r>
      <w:r w:rsidR="00221376" w:rsidRPr="00221376">
        <w:rPr>
          <w:rFonts w:ascii="Arial" w:hAnsi="Arial" w:cs="Arial"/>
          <w:sz w:val="26"/>
          <w:szCs w:val="26"/>
        </w:rPr>
        <w:t>), dont l'original fut publié vers 1727. Selon Kaempfer, le Go est plus difficile que les échecs. D'autres personnes ayant visité le J</w:t>
      </w:r>
      <w:r w:rsidR="00221376">
        <w:rPr>
          <w:rFonts w:ascii="Arial" w:hAnsi="Arial" w:cs="Arial"/>
          <w:sz w:val="26"/>
          <w:szCs w:val="26"/>
        </w:rPr>
        <w:t>apon, comme Philip Franz Balthas</w:t>
      </w:r>
      <w:r w:rsidR="00221376" w:rsidRPr="00221376">
        <w:rPr>
          <w:rFonts w:ascii="Arial" w:hAnsi="Arial" w:cs="Arial"/>
          <w:sz w:val="26"/>
          <w:szCs w:val="26"/>
        </w:rPr>
        <w:t xml:space="preserve">ar </w:t>
      </w:r>
      <w:proofErr w:type="spellStart"/>
      <w:r w:rsidR="00221376" w:rsidRPr="00221376">
        <w:rPr>
          <w:rFonts w:ascii="Arial" w:hAnsi="Arial" w:cs="Arial"/>
          <w:sz w:val="26"/>
          <w:szCs w:val="26"/>
        </w:rPr>
        <w:t>von</w:t>
      </w:r>
      <w:proofErr w:type="spellEnd"/>
      <w:r w:rsidR="00221376" w:rsidRPr="00221376">
        <w:rPr>
          <w:rFonts w:ascii="Arial" w:hAnsi="Arial" w:cs="Arial"/>
          <w:sz w:val="26"/>
          <w:szCs w:val="26"/>
        </w:rPr>
        <w:t xml:space="preserve"> Siebold (au Japon de 1823 à 1829 et de 1858 à 1862), le consul suisse Rudolf Lindau (au Japon de 1864 à 1866) ou le spécialiste du Japon Basil Hall Chamberlain (au Japon de 1873 à</w:t>
      </w:r>
      <w:r w:rsidR="00221376">
        <w:rPr>
          <w:rFonts w:ascii="Arial" w:hAnsi="Arial" w:cs="Arial"/>
          <w:sz w:val="26"/>
          <w:szCs w:val="26"/>
        </w:rPr>
        <w:t xml:space="preserve"> </w:t>
      </w:r>
      <w:r w:rsidR="00221376" w:rsidRPr="00221376">
        <w:rPr>
          <w:rFonts w:ascii="Arial" w:hAnsi="Arial" w:cs="Arial"/>
          <w:sz w:val="26"/>
          <w:szCs w:val="26"/>
        </w:rPr>
        <w:t>1911) ne montrèrent que peu d'intérêt pour le jeu.</w:t>
      </w:r>
    </w:p>
    <w:p w:rsidR="00584C59" w:rsidRPr="00584C59" w:rsidRDefault="00221376" w:rsidP="00584C59">
      <w:pPr>
        <w:jc w:val="both"/>
        <w:rPr>
          <w:rFonts w:ascii="Arial" w:hAnsi="Arial" w:cs="Arial"/>
          <w:sz w:val="26"/>
          <w:szCs w:val="26"/>
        </w:rPr>
      </w:pPr>
      <w:r w:rsidRPr="00221376">
        <w:rPr>
          <w:rFonts w:ascii="Arial" w:hAnsi="Arial" w:cs="Arial"/>
          <w:sz w:val="26"/>
          <w:szCs w:val="26"/>
        </w:rPr>
        <w:br/>
      </w:r>
      <w:r w:rsidRPr="00221376">
        <w:rPr>
          <w:rFonts w:ascii="Arial" w:hAnsi="Arial" w:cs="Arial"/>
          <w:sz w:val="26"/>
          <w:szCs w:val="26"/>
        </w:rPr>
        <w:br/>
        <w:t xml:space="preserve">Après la restauration Meiji en 1868, le nouveau gouvernement fit appel à de nombreux enseignants européens, afin qu'ils participent au développement scientifique du pays. L'Allemand Oskar Korschelt (au Japon de 1876 à 1879), ingénieur et professeur de chimie et de mathématique, apprit à jouer au Go et devint même un assez bon joueur. De retour au pays, il rédigea une série d'articles décrivant le jeu, qui furent publiés entre août 1880 et juillet 1881 dans la revue </w:t>
      </w:r>
      <w:r w:rsidRPr="00221376">
        <w:rPr>
          <w:rFonts w:ascii="Arial" w:hAnsi="Arial" w:cs="Arial"/>
          <w:i/>
          <w:sz w:val="26"/>
          <w:szCs w:val="26"/>
          <w:lang w:val="de-DE"/>
        </w:rPr>
        <w:t>Mittheilungen der Deutschen Gesellschaft für Natur- und Völkerkunde Ostasiens</w:t>
      </w:r>
      <w:r w:rsidRPr="00221376">
        <w:rPr>
          <w:rFonts w:ascii="Arial" w:hAnsi="Arial" w:cs="Arial"/>
          <w:sz w:val="26"/>
          <w:szCs w:val="26"/>
        </w:rPr>
        <w:t xml:space="preserve"> (Bulletin d'information de la Société allemande pour les sciences naturelles et l'ethnologie d'Asie de l'Est). Ses écrits furent les premiers à offrir une description complète du </w:t>
      </w:r>
      <w:r>
        <w:rPr>
          <w:rFonts w:ascii="Arial" w:hAnsi="Arial" w:cs="Arial"/>
          <w:sz w:val="26"/>
          <w:szCs w:val="26"/>
        </w:rPr>
        <w:t>Go aux Occidentaux.</w:t>
      </w:r>
      <w:r w:rsidR="00584C59">
        <w:rPr>
          <w:rFonts w:ascii="Arial" w:hAnsi="Arial" w:cs="Arial"/>
          <w:sz w:val="26"/>
          <w:szCs w:val="26"/>
        </w:rPr>
        <w:t xml:space="preserve"> </w:t>
      </w:r>
      <w:r w:rsidR="00584C59" w:rsidRPr="00584C59">
        <w:rPr>
          <w:rFonts w:ascii="Arial" w:hAnsi="Arial" w:cs="Arial"/>
          <w:sz w:val="26"/>
          <w:szCs w:val="26"/>
        </w:rPr>
        <w:t xml:space="preserve">Peu après, en 1895, Stewart Culin publia </w:t>
      </w:r>
      <w:r w:rsidR="00584C59" w:rsidRPr="00584C59">
        <w:rPr>
          <w:rFonts w:ascii="Arial" w:hAnsi="Arial" w:cs="Arial"/>
          <w:i/>
          <w:sz w:val="26"/>
          <w:szCs w:val="26"/>
        </w:rPr>
        <w:t>Korean Games with notes on the corresponding games of China and Japan</w:t>
      </w:r>
      <w:r w:rsidR="00584C59">
        <w:rPr>
          <w:rFonts w:ascii="Arial" w:hAnsi="Arial" w:cs="Arial"/>
          <w:sz w:val="26"/>
          <w:szCs w:val="26"/>
        </w:rPr>
        <w:t>. Ce n'est qu'au début du XX</w:t>
      </w:r>
      <w:r w:rsidR="00584C59" w:rsidRPr="00584C59">
        <w:rPr>
          <w:rFonts w:ascii="Arial" w:hAnsi="Arial" w:cs="Arial"/>
          <w:sz w:val="26"/>
          <w:szCs w:val="26"/>
          <w:vertAlign w:val="superscript"/>
        </w:rPr>
        <w:t>e</w:t>
      </w:r>
      <w:r w:rsidR="00584C59" w:rsidRPr="00584C59">
        <w:rPr>
          <w:rFonts w:ascii="Arial" w:hAnsi="Arial" w:cs="Arial"/>
          <w:sz w:val="26"/>
          <w:szCs w:val="26"/>
        </w:rPr>
        <w:t xml:space="preserve"> siècle que parut l'ouvrage </w:t>
      </w:r>
      <w:r w:rsidR="00584C59" w:rsidRPr="00584C59">
        <w:rPr>
          <w:rFonts w:ascii="Arial" w:hAnsi="Arial" w:cs="Arial"/>
          <w:i/>
          <w:sz w:val="26"/>
          <w:szCs w:val="26"/>
          <w:lang w:val="en-US"/>
        </w:rPr>
        <w:t>The Game of Go</w:t>
      </w:r>
      <w:r w:rsidR="00584C59" w:rsidRPr="00584C59">
        <w:rPr>
          <w:rFonts w:ascii="Arial" w:hAnsi="Arial" w:cs="Arial"/>
          <w:sz w:val="26"/>
          <w:szCs w:val="26"/>
        </w:rPr>
        <w:t xml:space="preserve"> (1908) d'Arthur Smith. C'est ainsi que les portes du Go s'ouvrirent aux Européens et a</w:t>
      </w:r>
      <w:r w:rsidR="00584C59">
        <w:rPr>
          <w:rFonts w:ascii="Arial" w:hAnsi="Arial" w:cs="Arial"/>
          <w:sz w:val="26"/>
          <w:szCs w:val="26"/>
        </w:rPr>
        <w:t>ux Américains. Dès lors, l'inté</w:t>
      </w:r>
      <w:r w:rsidR="00584C59" w:rsidRPr="00584C59">
        <w:rPr>
          <w:rFonts w:ascii="Arial" w:hAnsi="Arial" w:cs="Arial"/>
          <w:sz w:val="26"/>
          <w:szCs w:val="26"/>
        </w:rPr>
        <w:t>rêt pour ce jeu ne cessa d'augmenter, au point que</w:t>
      </w:r>
      <w:r w:rsidR="00584C59">
        <w:rPr>
          <w:rFonts w:ascii="Arial" w:hAnsi="Arial" w:cs="Arial"/>
          <w:sz w:val="26"/>
          <w:szCs w:val="26"/>
        </w:rPr>
        <w:t xml:space="preserve">, dans son livre de 1931, </w:t>
      </w:r>
      <w:r w:rsidR="00584C59" w:rsidRPr="00584C59">
        <w:rPr>
          <w:rFonts w:ascii="Arial" w:hAnsi="Arial" w:cs="Arial"/>
          <w:i/>
          <w:sz w:val="26"/>
          <w:szCs w:val="26"/>
          <w:lang w:val="de-DE"/>
        </w:rPr>
        <w:t>Brettspiele der Völker</w:t>
      </w:r>
      <w:r w:rsidR="00584C59" w:rsidRPr="00584C59">
        <w:rPr>
          <w:rFonts w:ascii="Arial" w:hAnsi="Arial" w:cs="Arial"/>
          <w:sz w:val="26"/>
          <w:szCs w:val="26"/>
        </w:rPr>
        <w:t xml:space="preserve"> (Jeux de plateau des peuples), le champion du monde d'échecs Emanuel Lasker consacra plus de pages au Go qu'aux échecs. Aujourd'hui, des joueurs de Go européens participent régulièrement à des championnats internationaux, même en Asie.</w:t>
      </w:r>
      <w:r w:rsidR="00584C59" w:rsidRPr="00584C59">
        <w:rPr>
          <w:rFonts w:ascii="Arial" w:eastAsia="Times New Roman" w:hAnsi="Arial" w:cs="Arial"/>
          <w:color w:val="222222"/>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57"/>
        <w:gridCol w:w="8755"/>
      </w:tblGrid>
      <w:tr w:rsidR="00584C59" w:rsidRPr="00584C59" w:rsidTr="00584C59">
        <w:tc>
          <w:tcPr>
            <w:tcW w:w="660" w:type="dxa"/>
            <w:tcMar>
              <w:top w:w="0" w:type="dxa"/>
              <w:left w:w="240" w:type="dxa"/>
              <w:bottom w:w="0" w:type="dxa"/>
              <w:right w:w="240" w:type="dxa"/>
            </w:tcMar>
            <w:hideMark/>
          </w:tcPr>
          <w:p w:rsidR="00584C59" w:rsidRPr="00584C59" w:rsidRDefault="00584C59" w:rsidP="00584C59">
            <w:pPr>
              <w:spacing w:after="0" w:line="240" w:lineRule="auto"/>
              <w:rPr>
                <w:rFonts w:ascii="Times New Roman" w:eastAsia="Times New Roman" w:hAnsi="Times New Roman" w:cs="Times New Roman"/>
                <w:sz w:val="24"/>
                <w:szCs w:val="24"/>
              </w:rPr>
            </w:pPr>
          </w:p>
        </w:tc>
        <w:tc>
          <w:tcPr>
            <w:tcW w:w="21600" w:type="dxa"/>
            <w:tcMar>
              <w:top w:w="0" w:type="dxa"/>
              <w:left w:w="0" w:type="dxa"/>
              <w:bottom w:w="0" w:type="dxa"/>
              <w:right w:w="0" w:type="dxa"/>
            </w:tcMar>
            <w:vAlign w:val="center"/>
            <w:hideMark/>
          </w:tcPr>
          <w:p w:rsidR="00584C59" w:rsidRPr="00584C59" w:rsidRDefault="00584C59" w:rsidP="00584C59">
            <w:pPr>
              <w:spacing w:after="0" w:line="240" w:lineRule="auto"/>
              <w:rPr>
                <w:rFonts w:ascii="Times New Roman" w:eastAsia="Times New Roman" w:hAnsi="Times New Roman" w:cs="Times New Roman"/>
                <w:sz w:val="24"/>
                <w:szCs w:val="24"/>
              </w:rPr>
            </w:pPr>
          </w:p>
        </w:tc>
      </w:tr>
    </w:tbl>
    <w:p w:rsidR="00584C59" w:rsidRPr="00221376" w:rsidRDefault="00584C59" w:rsidP="00221376">
      <w:pPr>
        <w:jc w:val="both"/>
        <w:rPr>
          <w:rFonts w:ascii="Arial" w:hAnsi="Arial" w:cs="Arial"/>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557"/>
        <w:gridCol w:w="8755"/>
      </w:tblGrid>
      <w:tr w:rsidR="00221376" w:rsidRPr="00221376" w:rsidTr="00221376">
        <w:tc>
          <w:tcPr>
            <w:tcW w:w="660" w:type="dxa"/>
            <w:tcMar>
              <w:top w:w="0" w:type="dxa"/>
              <w:left w:w="240" w:type="dxa"/>
              <w:bottom w:w="0" w:type="dxa"/>
              <w:right w:w="240" w:type="dxa"/>
            </w:tcMar>
            <w:hideMark/>
          </w:tcPr>
          <w:p w:rsidR="00221376" w:rsidRPr="00221376" w:rsidRDefault="00221376" w:rsidP="00221376">
            <w:pPr>
              <w:spacing w:after="0" w:line="240" w:lineRule="auto"/>
              <w:rPr>
                <w:rFonts w:ascii="Arial" w:hAnsi="Arial" w:cs="Arial"/>
                <w:sz w:val="26"/>
                <w:szCs w:val="26"/>
              </w:rPr>
            </w:pPr>
          </w:p>
        </w:tc>
        <w:tc>
          <w:tcPr>
            <w:tcW w:w="21600" w:type="dxa"/>
            <w:tcMar>
              <w:top w:w="0" w:type="dxa"/>
              <w:left w:w="0" w:type="dxa"/>
              <w:bottom w:w="0" w:type="dxa"/>
              <w:right w:w="0" w:type="dxa"/>
            </w:tcMar>
            <w:vAlign w:val="center"/>
            <w:hideMark/>
          </w:tcPr>
          <w:p w:rsidR="00221376" w:rsidRPr="00221376" w:rsidRDefault="00221376" w:rsidP="00221376">
            <w:pPr>
              <w:spacing w:after="0" w:line="240" w:lineRule="auto"/>
              <w:rPr>
                <w:rFonts w:ascii="Arial" w:hAnsi="Arial" w:cs="Arial"/>
                <w:sz w:val="26"/>
                <w:szCs w:val="26"/>
              </w:rPr>
            </w:pPr>
          </w:p>
        </w:tc>
      </w:tr>
    </w:tbl>
    <w:p w:rsidR="00221376" w:rsidRDefault="00221376" w:rsidP="000541BB">
      <w:pPr>
        <w:jc w:val="both"/>
        <w:rPr>
          <w:rFonts w:ascii="Arial" w:hAnsi="Arial" w:cs="Arial"/>
          <w:sz w:val="26"/>
          <w:szCs w:val="26"/>
        </w:rPr>
      </w:pPr>
    </w:p>
    <w:sectPr w:rsidR="00221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12A08"/>
    <w:multiLevelType w:val="multilevel"/>
    <w:tmpl w:val="7AA0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C24336"/>
    <w:multiLevelType w:val="multilevel"/>
    <w:tmpl w:val="5F98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7F"/>
    <w:rsid w:val="00002E02"/>
    <w:rsid w:val="000541BB"/>
    <w:rsid w:val="000A18E8"/>
    <w:rsid w:val="00160ACC"/>
    <w:rsid w:val="00221376"/>
    <w:rsid w:val="0026577F"/>
    <w:rsid w:val="00345538"/>
    <w:rsid w:val="003E76EE"/>
    <w:rsid w:val="00463052"/>
    <w:rsid w:val="004C0082"/>
    <w:rsid w:val="004D249C"/>
    <w:rsid w:val="00584C59"/>
    <w:rsid w:val="005E666F"/>
    <w:rsid w:val="00787162"/>
    <w:rsid w:val="00872CE3"/>
    <w:rsid w:val="00C261CE"/>
    <w:rsid w:val="00D85DF7"/>
    <w:rsid w:val="00E64B6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64B6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64B6B"/>
    <w:rPr>
      <w:b/>
      <w:bCs/>
    </w:rPr>
  </w:style>
  <w:style w:type="character" w:styleId="Lienhypertexte">
    <w:name w:val="Hyperlink"/>
    <w:basedOn w:val="Policepardfaut"/>
    <w:uiPriority w:val="99"/>
    <w:semiHidden/>
    <w:unhideWhenUsed/>
    <w:rsid w:val="00E64B6B"/>
    <w:rPr>
      <w:color w:val="0000FF"/>
      <w:u w:val="single"/>
    </w:rPr>
  </w:style>
  <w:style w:type="character" w:styleId="Accentuation">
    <w:name w:val="Emphasis"/>
    <w:basedOn w:val="Policepardfaut"/>
    <w:uiPriority w:val="20"/>
    <w:qFormat/>
    <w:rsid w:val="00E64B6B"/>
    <w:rPr>
      <w:i/>
      <w:iCs/>
    </w:rPr>
  </w:style>
  <w:style w:type="paragraph" w:styleId="Textedebulles">
    <w:name w:val="Balloon Text"/>
    <w:basedOn w:val="Normal"/>
    <w:link w:val="TextedebullesCar"/>
    <w:uiPriority w:val="99"/>
    <w:semiHidden/>
    <w:unhideWhenUsed/>
    <w:rsid w:val="00E64B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4B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64B6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64B6B"/>
    <w:rPr>
      <w:b/>
      <w:bCs/>
    </w:rPr>
  </w:style>
  <w:style w:type="character" w:styleId="Lienhypertexte">
    <w:name w:val="Hyperlink"/>
    <w:basedOn w:val="Policepardfaut"/>
    <w:uiPriority w:val="99"/>
    <w:semiHidden/>
    <w:unhideWhenUsed/>
    <w:rsid w:val="00E64B6B"/>
    <w:rPr>
      <w:color w:val="0000FF"/>
      <w:u w:val="single"/>
    </w:rPr>
  </w:style>
  <w:style w:type="character" w:styleId="Accentuation">
    <w:name w:val="Emphasis"/>
    <w:basedOn w:val="Policepardfaut"/>
    <w:uiPriority w:val="20"/>
    <w:qFormat/>
    <w:rsid w:val="00E64B6B"/>
    <w:rPr>
      <w:i/>
      <w:iCs/>
    </w:rPr>
  </w:style>
  <w:style w:type="paragraph" w:styleId="Textedebulles">
    <w:name w:val="Balloon Text"/>
    <w:basedOn w:val="Normal"/>
    <w:link w:val="TextedebullesCar"/>
    <w:uiPriority w:val="99"/>
    <w:semiHidden/>
    <w:unhideWhenUsed/>
    <w:rsid w:val="00E64B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4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744752">
      <w:bodyDiv w:val="1"/>
      <w:marLeft w:val="0"/>
      <w:marRight w:val="0"/>
      <w:marTop w:val="0"/>
      <w:marBottom w:val="0"/>
      <w:divBdr>
        <w:top w:val="none" w:sz="0" w:space="0" w:color="auto"/>
        <w:left w:val="none" w:sz="0" w:space="0" w:color="auto"/>
        <w:bottom w:val="none" w:sz="0" w:space="0" w:color="auto"/>
        <w:right w:val="none" w:sz="0" w:space="0" w:color="auto"/>
      </w:divBdr>
      <w:divsChild>
        <w:div w:id="1238827563">
          <w:marLeft w:val="0"/>
          <w:marRight w:val="0"/>
          <w:marTop w:val="0"/>
          <w:marBottom w:val="0"/>
          <w:divBdr>
            <w:top w:val="none" w:sz="0" w:space="0" w:color="auto"/>
            <w:left w:val="none" w:sz="0" w:space="0" w:color="auto"/>
            <w:bottom w:val="none" w:sz="0" w:space="0" w:color="auto"/>
            <w:right w:val="none" w:sz="0" w:space="0" w:color="auto"/>
          </w:divBdr>
        </w:div>
      </w:divsChild>
    </w:div>
    <w:div w:id="1318530570">
      <w:bodyDiv w:val="1"/>
      <w:marLeft w:val="0"/>
      <w:marRight w:val="0"/>
      <w:marTop w:val="0"/>
      <w:marBottom w:val="0"/>
      <w:divBdr>
        <w:top w:val="none" w:sz="0" w:space="0" w:color="auto"/>
        <w:left w:val="none" w:sz="0" w:space="0" w:color="auto"/>
        <w:bottom w:val="none" w:sz="0" w:space="0" w:color="auto"/>
        <w:right w:val="none" w:sz="0" w:space="0" w:color="auto"/>
      </w:divBdr>
      <w:divsChild>
        <w:div w:id="836505698">
          <w:marLeft w:val="0"/>
          <w:marRight w:val="0"/>
          <w:marTop w:val="0"/>
          <w:marBottom w:val="0"/>
          <w:divBdr>
            <w:top w:val="none" w:sz="0" w:space="0" w:color="auto"/>
            <w:left w:val="none" w:sz="0" w:space="0" w:color="auto"/>
            <w:bottom w:val="none" w:sz="0" w:space="0" w:color="auto"/>
            <w:right w:val="none" w:sz="0" w:space="0" w:color="auto"/>
          </w:divBdr>
          <w:divsChild>
            <w:div w:id="812678014">
              <w:marLeft w:val="0"/>
              <w:marRight w:val="0"/>
              <w:marTop w:val="0"/>
              <w:marBottom w:val="0"/>
              <w:divBdr>
                <w:top w:val="none" w:sz="0" w:space="0" w:color="auto"/>
                <w:left w:val="none" w:sz="0" w:space="0" w:color="auto"/>
                <w:bottom w:val="none" w:sz="0" w:space="0" w:color="auto"/>
                <w:right w:val="none" w:sz="0" w:space="0" w:color="auto"/>
              </w:divBdr>
              <w:divsChild>
                <w:div w:id="1444304243">
                  <w:marLeft w:val="0"/>
                  <w:marRight w:val="0"/>
                  <w:marTop w:val="0"/>
                  <w:marBottom w:val="0"/>
                  <w:divBdr>
                    <w:top w:val="none" w:sz="0" w:space="0" w:color="auto"/>
                    <w:left w:val="none" w:sz="0" w:space="0" w:color="auto"/>
                    <w:bottom w:val="none" w:sz="0" w:space="0" w:color="auto"/>
                    <w:right w:val="none" w:sz="0" w:space="0" w:color="auto"/>
                  </w:divBdr>
                  <w:divsChild>
                    <w:div w:id="2119178454">
                      <w:marLeft w:val="0"/>
                      <w:marRight w:val="0"/>
                      <w:marTop w:val="120"/>
                      <w:marBottom w:val="0"/>
                      <w:divBdr>
                        <w:top w:val="none" w:sz="0" w:space="0" w:color="auto"/>
                        <w:left w:val="none" w:sz="0" w:space="0" w:color="auto"/>
                        <w:bottom w:val="none" w:sz="0" w:space="0" w:color="auto"/>
                        <w:right w:val="none" w:sz="0" w:space="0" w:color="auto"/>
                      </w:divBdr>
                      <w:divsChild>
                        <w:div w:id="302782145">
                          <w:marLeft w:val="0"/>
                          <w:marRight w:val="0"/>
                          <w:marTop w:val="0"/>
                          <w:marBottom w:val="0"/>
                          <w:divBdr>
                            <w:top w:val="none" w:sz="0" w:space="0" w:color="auto"/>
                            <w:left w:val="none" w:sz="0" w:space="0" w:color="auto"/>
                            <w:bottom w:val="none" w:sz="0" w:space="0" w:color="auto"/>
                            <w:right w:val="none" w:sz="0" w:space="0" w:color="auto"/>
                          </w:divBdr>
                          <w:divsChild>
                            <w:div w:id="2053654440">
                              <w:marLeft w:val="0"/>
                              <w:marRight w:val="0"/>
                              <w:marTop w:val="0"/>
                              <w:marBottom w:val="0"/>
                              <w:divBdr>
                                <w:top w:val="none" w:sz="0" w:space="0" w:color="auto"/>
                                <w:left w:val="none" w:sz="0" w:space="0" w:color="auto"/>
                                <w:bottom w:val="none" w:sz="0" w:space="0" w:color="auto"/>
                                <w:right w:val="none" w:sz="0" w:space="0" w:color="auto"/>
                              </w:divBdr>
                              <w:divsChild>
                                <w:div w:id="18638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7654">
          <w:marLeft w:val="0"/>
          <w:marRight w:val="0"/>
          <w:marTop w:val="0"/>
          <w:marBottom w:val="0"/>
          <w:divBdr>
            <w:top w:val="none" w:sz="0" w:space="0" w:color="auto"/>
            <w:left w:val="none" w:sz="0" w:space="0" w:color="auto"/>
            <w:bottom w:val="none" w:sz="0" w:space="0" w:color="auto"/>
            <w:right w:val="none" w:sz="0" w:space="0" w:color="auto"/>
          </w:divBdr>
          <w:divsChild>
            <w:div w:id="230848420">
              <w:marLeft w:val="0"/>
              <w:marRight w:val="0"/>
              <w:marTop w:val="0"/>
              <w:marBottom w:val="0"/>
              <w:divBdr>
                <w:top w:val="none" w:sz="0" w:space="0" w:color="auto"/>
                <w:left w:val="none" w:sz="0" w:space="0" w:color="auto"/>
                <w:bottom w:val="none" w:sz="0" w:space="0" w:color="auto"/>
                <w:right w:val="none" w:sz="0" w:space="0" w:color="auto"/>
              </w:divBdr>
              <w:divsChild>
                <w:div w:id="319432217">
                  <w:marLeft w:val="0"/>
                  <w:marRight w:val="0"/>
                  <w:marTop w:val="0"/>
                  <w:marBottom w:val="0"/>
                  <w:divBdr>
                    <w:top w:val="none" w:sz="0" w:space="0" w:color="auto"/>
                    <w:left w:val="none" w:sz="0" w:space="0" w:color="auto"/>
                    <w:bottom w:val="none" w:sz="0" w:space="0" w:color="auto"/>
                    <w:right w:val="none" w:sz="0" w:space="0" w:color="auto"/>
                  </w:divBdr>
                  <w:divsChild>
                    <w:div w:id="19027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131744">
      <w:bodyDiv w:val="1"/>
      <w:marLeft w:val="0"/>
      <w:marRight w:val="0"/>
      <w:marTop w:val="0"/>
      <w:marBottom w:val="0"/>
      <w:divBdr>
        <w:top w:val="none" w:sz="0" w:space="0" w:color="auto"/>
        <w:left w:val="none" w:sz="0" w:space="0" w:color="auto"/>
        <w:bottom w:val="none" w:sz="0" w:space="0" w:color="auto"/>
        <w:right w:val="none" w:sz="0" w:space="0" w:color="auto"/>
      </w:divBdr>
      <w:divsChild>
        <w:div w:id="1610703975">
          <w:marLeft w:val="0"/>
          <w:marRight w:val="0"/>
          <w:marTop w:val="0"/>
          <w:marBottom w:val="0"/>
          <w:divBdr>
            <w:top w:val="none" w:sz="0" w:space="0" w:color="auto"/>
            <w:left w:val="none" w:sz="0" w:space="0" w:color="auto"/>
            <w:bottom w:val="none" w:sz="0" w:space="0" w:color="auto"/>
            <w:right w:val="none" w:sz="0" w:space="0" w:color="auto"/>
          </w:divBdr>
          <w:divsChild>
            <w:div w:id="1340428756">
              <w:marLeft w:val="0"/>
              <w:marRight w:val="0"/>
              <w:marTop w:val="0"/>
              <w:marBottom w:val="0"/>
              <w:divBdr>
                <w:top w:val="none" w:sz="0" w:space="0" w:color="auto"/>
                <w:left w:val="none" w:sz="0" w:space="0" w:color="auto"/>
                <w:bottom w:val="none" w:sz="0" w:space="0" w:color="auto"/>
                <w:right w:val="none" w:sz="0" w:space="0" w:color="auto"/>
              </w:divBdr>
              <w:divsChild>
                <w:div w:id="960187373">
                  <w:marLeft w:val="0"/>
                  <w:marRight w:val="0"/>
                  <w:marTop w:val="0"/>
                  <w:marBottom w:val="0"/>
                  <w:divBdr>
                    <w:top w:val="none" w:sz="0" w:space="0" w:color="auto"/>
                    <w:left w:val="none" w:sz="0" w:space="0" w:color="auto"/>
                    <w:bottom w:val="none" w:sz="0" w:space="0" w:color="auto"/>
                    <w:right w:val="none" w:sz="0" w:space="0" w:color="auto"/>
                  </w:divBdr>
                  <w:divsChild>
                    <w:div w:id="639501887">
                      <w:marLeft w:val="0"/>
                      <w:marRight w:val="0"/>
                      <w:marTop w:val="120"/>
                      <w:marBottom w:val="0"/>
                      <w:divBdr>
                        <w:top w:val="none" w:sz="0" w:space="0" w:color="auto"/>
                        <w:left w:val="none" w:sz="0" w:space="0" w:color="auto"/>
                        <w:bottom w:val="none" w:sz="0" w:space="0" w:color="auto"/>
                        <w:right w:val="none" w:sz="0" w:space="0" w:color="auto"/>
                      </w:divBdr>
                      <w:divsChild>
                        <w:div w:id="713505420">
                          <w:marLeft w:val="0"/>
                          <w:marRight w:val="0"/>
                          <w:marTop w:val="0"/>
                          <w:marBottom w:val="0"/>
                          <w:divBdr>
                            <w:top w:val="none" w:sz="0" w:space="0" w:color="auto"/>
                            <w:left w:val="none" w:sz="0" w:space="0" w:color="auto"/>
                            <w:bottom w:val="none" w:sz="0" w:space="0" w:color="auto"/>
                            <w:right w:val="none" w:sz="0" w:space="0" w:color="auto"/>
                          </w:divBdr>
                          <w:divsChild>
                            <w:div w:id="1571117247">
                              <w:marLeft w:val="0"/>
                              <w:marRight w:val="0"/>
                              <w:marTop w:val="0"/>
                              <w:marBottom w:val="0"/>
                              <w:divBdr>
                                <w:top w:val="none" w:sz="0" w:space="0" w:color="auto"/>
                                <w:left w:val="none" w:sz="0" w:space="0" w:color="auto"/>
                                <w:bottom w:val="none" w:sz="0" w:space="0" w:color="auto"/>
                                <w:right w:val="none" w:sz="0" w:space="0" w:color="auto"/>
                              </w:divBdr>
                              <w:divsChild>
                                <w:div w:id="20554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7681">
          <w:marLeft w:val="0"/>
          <w:marRight w:val="0"/>
          <w:marTop w:val="0"/>
          <w:marBottom w:val="0"/>
          <w:divBdr>
            <w:top w:val="none" w:sz="0" w:space="0" w:color="auto"/>
            <w:left w:val="none" w:sz="0" w:space="0" w:color="auto"/>
            <w:bottom w:val="none" w:sz="0" w:space="0" w:color="auto"/>
            <w:right w:val="none" w:sz="0" w:space="0" w:color="auto"/>
          </w:divBdr>
          <w:divsChild>
            <w:div w:id="1947150524">
              <w:marLeft w:val="0"/>
              <w:marRight w:val="0"/>
              <w:marTop w:val="0"/>
              <w:marBottom w:val="0"/>
              <w:divBdr>
                <w:top w:val="none" w:sz="0" w:space="0" w:color="auto"/>
                <w:left w:val="none" w:sz="0" w:space="0" w:color="auto"/>
                <w:bottom w:val="none" w:sz="0" w:space="0" w:color="auto"/>
                <w:right w:val="none" w:sz="0" w:space="0" w:color="auto"/>
              </w:divBdr>
              <w:divsChild>
                <w:div w:id="1551500908">
                  <w:marLeft w:val="0"/>
                  <w:marRight w:val="0"/>
                  <w:marTop w:val="0"/>
                  <w:marBottom w:val="0"/>
                  <w:divBdr>
                    <w:top w:val="none" w:sz="0" w:space="0" w:color="auto"/>
                    <w:left w:val="none" w:sz="0" w:space="0" w:color="auto"/>
                    <w:bottom w:val="none" w:sz="0" w:space="0" w:color="auto"/>
                    <w:right w:val="none" w:sz="0" w:space="0" w:color="auto"/>
                  </w:divBdr>
                  <w:divsChild>
                    <w:div w:id="92060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seis.xmp.net/?Shogi" TargetMode="External"/><Relationship Id="rId13" Type="http://schemas.openxmlformats.org/officeDocument/2006/relationships/hyperlink" Target="http://gobase.org/reading/history/edo/" TargetMode="External"/><Relationship Id="rId3" Type="http://schemas.openxmlformats.org/officeDocument/2006/relationships/styles" Target="styles.xml"/><Relationship Id="rId7" Type="http://schemas.openxmlformats.org/officeDocument/2006/relationships/hyperlink" Target="https://senseis.xmp.net/?Go" TargetMode="External"/><Relationship Id="rId12"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kspace.goverband.at/essays/masukawa.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enseis.xmp.net/?GoGambling" TargetMode="External"/><Relationship Id="rId4" Type="http://schemas.microsoft.com/office/2007/relationships/stylesWithEffects" Target="stylesWithEffects.xml"/><Relationship Id="rId9" Type="http://schemas.openxmlformats.org/officeDocument/2006/relationships/hyperlink" Target="https://senseis.xmp.net/?Shogi"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8571D-D4D3-4058-8628-13C7553E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1794</Words>
  <Characters>9869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11</cp:revision>
  <dcterms:created xsi:type="dcterms:W3CDTF">2025-07-14T12:50:00Z</dcterms:created>
  <dcterms:modified xsi:type="dcterms:W3CDTF">2025-10-14T16:46:00Z</dcterms:modified>
</cp:coreProperties>
</file>